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Title"/>
        <w:widowControl w:val="0"/>
        <w:jc w:val="center"/>
        <w:rPr/>
      </w:pPr>
      <w:bookmarkStart w:colFirst="0" w:colLast="0" w:name="_t0rt0d6dfj78" w:id="0"/>
      <w:bookmarkEnd w:id="0"/>
      <w:r w:rsidDel="00000000" w:rsidR="00000000" w:rsidRPr="00000000">
        <w:rPr>
          <w:rtl w:val="0"/>
        </w:rPr>
        <w:t xml:space="preserve">Internal battery RB (6.4V/78Ah)</w:t>
      </w:r>
    </w:p>
    <w:p w:rsidR="00000000" w:rsidDel="00000000" w:rsidP="00000000" w:rsidRDefault="00000000" w:rsidRPr="00000000" w14:paraId="00000002">
      <w:pPr>
        <w:jc w:val="center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Subtitle"/>
        <w:jc w:val="center"/>
        <w:rPr>
          <w:rFonts w:ascii="Roboto" w:cs="Roboto" w:eastAsia="Roboto" w:hAnsi="Roboto"/>
        </w:rPr>
      </w:pPr>
      <w:bookmarkStart w:colFirst="0" w:colLast="0" w:name="_1af47flkg16l" w:id="1"/>
      <w:bookmarkEnd w:id="1"/>
      <w:r w:rsidDel="00000000" w:rsidR="00000000" w:rsidRPr="00000000">
        <w:rPr>
          <w:rFonts w:ascii="Roboto" w:cs="Roboto" w:eastAsia="Roboto" w:hAnsi="Roboto"/>
          <w:rtl w:val="0"/>
        </w:rPr>
        <w:t xml:space="preserve">Zestaw 104 ładowalnych baterii LiFePO4 do zainstalowania w Case D (430)</w:t>
      </w:r>
    </w:p>
    <w:p w:rsidR="00000000" w:rsidDel="00000000" w:rsidP="00000000" w:rsidRDefault="00000000" w:rsidRPr="00000000" w14:paraId="00000004">
      <w:pPr>
        <w:jc w:val="center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4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985"/>
        <w:gridCol w:w="7455"/>
        <w:tblGridChange w:id="0">
          <w:tblGrid>
            <w:gridCol w:w="2985"/>
            <w:gridCol w:w="745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Rodzaj baterii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Baterie</w:t>
            </w:r>
          </w:p>
          <w:p w:rsidR="00000000" w:rsidDel="00000000" w:rsidP="00000000" w:rsidRDefault="00000000" w:rsidRPr="00000000" w14:paraId="00000007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78 × IFR18650</w:t>
            </w:r>
          </w:p>
          <w:p w:rsidR="00000000" w:rsidDel="00000000" w:rsidP="00000000" w:rsidRDefault="00000000" w:rsidRPr="00000000" w14:paraId="00000008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  <w:rtl w:val="0"/>
              </w:rPr>
              <w:t xml:space="preserve">Ładowalne ogniwa litowo-żelazowo-fosforanowe (LiFePO4).</w:t>
            </w:r>
          </w:p>
          <w:p w:rsidR="00000000" w:rsidDel="00000000" w:rsidP="00000000" w:rsidRDefault="00000000" w:rsidRPr="00000000" w14:paraId="00000009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Konfiguracja baterii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2S39P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Napięcie nominalne</w:t>
            </w:r>
          </w:p>
          <w:p w:rsidR="00000000" w:rsidDel="00000000" w:rsidP="00000000" w:rsidRDefault="00000000" w:rsidRPr="00000000" w14:paraId="0000000E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4"/>
                <w:szCs w:val="24"/>
                <w:highlight w:val="white"/>
                <w:rtl w:val="0"/>
              </w:rPr>
              <w:t xml:space="preserve">6.4 V⎓</w:t>
            </w:r>
          </w:p>
          <w:p w:rsidR="00000000" w:rsidDel="00000000" w:rsidP="00000000" w:rsidRDefault="00000000" w:rsidRPr="00000000" w14:paraId="0000000F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Nominalna pojemność</w:t>
            </w:r>
          </w:p>
          <w:p w:rsidR="00000000" w:rsidDel="00000000" w:rsidP="00000000" w:rsidRDefault="00000000" w:rsidRPr="00000000" w14:paraId="00000011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78 Ah</w:t>
            </w:r>
          </w:p>
          <w:p w:rsidR="00000000" w:rsidDel="00000000" w:rsidP="00000000" w:rsidRDefault="00000000" w:rsidRPr="00000000" w14:paraId="00000012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Maksymalny prąd ładowania</w:t>
            </w:r>
          </w:p>
          <w:p w:rsidR="00000000" w:rsidDel="00000000" w:rsidP="00000000" w:rsidRDefault="00000000" w:rsidRPr="00000000" w14:paraId="00000014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15 A</w:t>
            </w:r>
          </w:p>
          <w:p w:rsidR="00000000" w:rsidDel="00000000" w:rsidP="00000000" w:rsidRDefault="00000000" w:rsidRPr="00000000" w14:paraId="00000015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  <w:rtl w:val="0"/>
              </w:rPr>
              <w:t xml:space="preserve">Za pośrednictwem złącza ładowania baterii.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TVC (kontrola napięcia na zaciskach)</w:t>
            </w:r>
          </w:p>
          <w:p w:rsidR="00000000" w:rsidDel="00000000" w:rsidP="00000000" w:rsidRDefault="00000000" w:rsidRPr="00000000" w14:paraId="00000018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4"/>
                <w:szCs w:val="24"/>
                <w:highlight w:val="white"/>
                <w:rtl w:val="0"/>
              </w:rPr>
              <w:t xml:space="preserve">7,2 V⎓ (3,6 V⎓ na ogniwo)</w:t>
            </w:r>
          </w:p>
          <w:p w:rsidR="00000000" w:rsidDel="00000000" w:rsidP="00000000" w:rsidRDefault="00000000" w:rsidRPr="00000000" w14:paraId="00000019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Maksymalny prąd rozładowania</w:t>
            </w:r>
          </w:p>
          <w:p w:rsidR="00000000" w:rsidDel="00000000" w:rsidP="00000000" w:rsidRDefault="00000000" w:rsidRPr="00000000" w14:paraId="0000001B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2 A</w:t>
            </w:r>
          </w:p>
          <w:p w:rsidR="00000000" w:rsidDel="00000000" w:rsidP="00000000" w:rsidRDefault="00000000" w:rsidRPr="00000000" w14:paraId="0000001C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  <w:rtl w:val="0"/>
              </w:rPr>
              <w:t xml:space="preserve">Za pomocą złącza umożliwiającego podłączenie baterii do huba.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Napięcie odcięcia rozładowania</w:t>
            </w:r>
          </w:p>
          <w:p w:rsidR="00000000" w:rsidDel="00000000" w:rsidP="00000000" w:rsidRDefault="00000000" w:rsidRPr="00000000" w14:paraId="0000001F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4"/>
                <w:szCs w:val="24"/>
                <w:highlight w:val="white"/>
                <w:rtl w:val="0"/>
              </w:rPr>
              <w:t xml:space="preserve">4.5 V⎓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Parametry ładowania i rozładowywania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Zakres temperatur ładowania</w:t>
            </w:r>
          </w:p>
          <w:p w:rsidR="00000000" w:rsidDel="00000000" w:rsidP="00000000" w:rsidRDefault="00000000" w:rsidRPr="00000000" w14:paraId="00000022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od 0 °C do +45 °C</w:t>
            </w:r>
          </w:p>
          <w:p w:rsidR="00000000" w:rsidDel="00000000" w:rsidP="00000000" w:rsidRDefault="00000000" w:rsidRPr="00000000" w14:paraId="00000023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od 32 °F do 113 °F</w:t>
            </w:r>
          </w:p>
          <w:p w:rsidR="00000000" w:rsidDel="00000000" w:rsidP="00000000" w:rsidRDefault="00000000" w:rsidRPr="00000000" w14:paraId="00000024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Wilgotność względna podczas ładowania</w:t>
            </w:r>
          </w:p>
          <w:p w:rsidR="00000000" w:rsidDel="00000000" w:rsidP="00000000" w:rsidRDefault="00000000" w:rsidRPr="00000000" w14:paraId="00000026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60 ± 25%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Zakres temperatury rozładowania</w:t>
            </w:r>
          </w:p>
          <w:p w:rsidR="00000000" w:rsidDel="00000000" w:rsidP="00000000" w:rsidRDefault="00000000" w:rsidRPr="00000000" w14:paraId="00000029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Nova Mono" w:cs="Nova Mono" w:eastAsia="Nova Mono" w:hAnsi="Nova Mono"/>
                <w:sz w:val="24"/>
                <w:szCs w:val="24"/>
                <w:highlight w:val="white"/>
                <w:rtl w:val="0"/>
              </w:rPr>
              <w:t xml:space="preserve">od −25 °C do +65 °C</w:t>
            </w:r>
          </w:p>
          <w:p w:rsidR="00000000" w:rsidDel="00000000" w:rsidP="00000000" w:rsidRDefault="00000000" w:rsidRPr="00000000" w14:paraId="0000002A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Nova Mono" w:cs="Nova Mono" w:eastAsia="Nova Mono" w:hAnsi="Nova Mono"/>
                <w:sz w:val="24"/>
                <w:szCs w:val="24"/>
                <w:highlight w:val="white"/>
                <w:rtl w:val="0"/>
              </w:rPr>
              <w:t xml:space="preserve">od −13 °F do 149 °F</w:t>
            </w:r>
          </w:p>
          <w:p w:rsidR="00000000" w:rsidDel="00000000" w:rsidP="00000000" w:rsidRDefault="00000000" w:rsidRPr="00000000" w14:paraId="0000002B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Wilgotność względna podczas ładowania</w:t>
            </w:r>
          </w:p>
          <w:p w:rsidR="00000000" w:rsidDel="00000000" w:rsidP="00000000" w:rsidRDefault="00000000" w:rsidRPr="00000000" w14:paraId="0000002D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60 ± 25%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Warunki przechowywania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Zakres temperatury przechowywania</w:t>
            </w:r>
          </w:p>
          <w:p w:rsidR="00000000" w:rsidDel="00000000" w:rsidP="00000000" w:rsidRDefault="00000000" w:rsidRPr="00000000" w14:paraId="00000030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Nova Mono" w:cs="Nova Mono" w:eastAsia="Nova Mono" w:hAnsi="Nova Mono"/>
                <w:sz w:val="24"/>
                <w:szCs w:val="24"/>
                <w:highlight w:val="white"/>
                <w:rtl w:val="0"/>
              </w:rPr>
              <w:t xml:space="preserve">od −20 °C do +45 °C</w:t>
            </w:r>
          </w:p>
          <w:p w:rsidR="00000000" w:rsidDel="00000000" w:rsidP="00000000" w:rsidRDefault="00000000" w:rsidRPr="00000000" w14:paraId="00000031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Nova Mono" w:cs="Nova Mono" w:eastAsia="Nova Mono" w:hAnsi="Nova Mono"/>
                <w:sz w:val="24"/>
                <w:szCs w:val="24"/>
                <w:highlight w:val="white"/>
                <w:rtl w:val="0"/>
              </w:rPr>
              <w:t xml:space="preserve">od −4 °F do 113 °F</w:t>
            </w:r>
          </w:p>
          <w:p w:rsidR="00000000" w:rsidDel="00000000" w:rsidP="00000000" w:rsidRDefault="00000000" w:rsidRPr="00000000" w14:paraId="00000032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Wilgotność przechowywania</w:t>
            </w:r>
          </w:p>
          <w:p w:rsidR="00000000" w:rsidDel="00000000" w:rsidP="00000000" w:rsidRDefault="00000000" w:rsidRPr="00000000" w14:paraId="00000034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60 ± 25%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Transport i wysyłka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Napięcie podczas przewożenia</w:t>
            </w:r>
          </w:p>
          <w:p w:rsidR="00000000" w:rsidDel="00000000" w:rsidP="00000000" w:rsidRDefault="00000000" w:rsidRPr="00000000" w14:paraId="00000037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4"/>
                <w:szCs w:val="24"/>
                <w:highlight w:val="white"/>
                <w:rtl w:val="0"/>
              </w:rPr>
              <w:t xml:space="preserve">6.0–6.4 V⎓</w:t>
            </w:r>
          </w:p>
          <w:p w:rsidR="00000000" w:rsidDel="00000000" w:rsidP="00000000" w:rsidRDefault="00000000" w:rsidRPr="00000000" w14:paraId="00000038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Wymagania dotyczące transportu</w:t>
            </w:r>
          </w:p>
          <w:p w:rsidR="00000000" w:rsidDel="00000000" w:rsidP="00000000" w:rsidRDefault="00000000" w:rsidRPr="00000000" w14:paraId="0000003A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W przypadku transportu lotniczego baterie litowe muszą być naładowane do nie więcej niż 30% ich nominalnej pojemności. Napięcie przewożenia spełnia ten wymóg.</w:t>
            </w:r>
          </w:p>
          <w:p w:rsidR="00000000" w:rsidDel="00000000" w:rsidP="00000000" w:rsidRDefault="00000000" w:rsidRPr="00000000" w14:paraId="0000003B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W przypadku innych rodzajów transportu baterię należy obsługiwać zgodnie z obowiązującymi przepisami i wymogami przewoźnika.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Uwagi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after="200"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Nie wolno wystawiać baterii na działanie otwartego ognia, iskier lub innych źródeł zapłonu.</w:t>
            </w:r>
          </w:p>
          <w:p w:rsidR="00000000" w:rsidDel="00000000" w:rsidP="00000000" w:rsidRDefault="00000000" w:rsidRPr="00000000" w14:paraId="0000003F">
            <w:pPr>
              <w:widowControl w:val="0"/>
              <w:spacing w:after="200"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Nie należy zwierać zacisków zasilania.</w:t>
            </w:r>
          </w:p>
          <w:p w:rsidR="00000000" w:rsidDel="00000000" w:rsidP="00000000" w:rsidRDefault="00000000" w:rsidRPr="00000000" w14:paraId="00000040">
            <w:pPr>
              <w:widowControl w:val="0"/>
              <w:spacing w:after="200"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Nie wolno demontować ani odkształcać baterii.</w:t>
            </w:r>
          </w:p>
          <w:p w:rsidR="00000000" w:rsidDel="00000000" w:rsidP="00000000" w:rsidRDefault="00000000" w:rsidRPr="00000000" w14:paraId="00000041">
            <w:pPr>
              <w:widowControl w:val="0"/>
              <w:spacing w:after="200"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Unikaj nadmiernych wstrząsów mechanicznych lub wibracji.</w:t>
            </w:r>
          </w:p>
          <w:p w:rsidR="00000000" w:rsidDel="00000000" w:rsidP="00000000" w:rsidRDefault="00000000" w:rsidRPr="00000000" w14:paraId="00000042">
            <w:pPr>
              <w:widowControl w:val="0"/>
              <w:spacing w:after="200"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Baterię należy stosować wyłącznie z kompatybilnymi urządzeniami.</w:t>
            </w:r>
          </w:p>
          <w:p w:rsidR="00000000" w:rsidDel="00000000" w:rsidP="00000000" w:rsidRDefault="00000000" w:rsidRPr="00000000" w14:paraId="00000043">
            <w:pPr>
              <w:widowControl w:val="0"/>
              <w:spacing w:after="200"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Hub nie ładuje tej baterii. </w:t>
            </w: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Naładuj baterię za pomocą dedykowanej zewnętrznej ładowarki. Baterię należy ładować co sześć miesięcy podczas przechowywania.</w:t>
            </w:r>
          </w:p>
          <w:p w:rsidR="00000000" w:rsidDel="00000000" w:rsidP="00000000" w:rsidRDefault="00000000" w:rsidRPr="00000000" w14:paraId="00000044">
            <w:pPr>
              <w:widowControl w:val="0"/>
              <w:spacing w:after="200"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widowControl w:val="0"/>
              <w:spacing w:after="200"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Zabezpiecz baterię w obudowie za pomocą rzepu (dołączonego do pełnego zestawu Case D (430) i Case E (395)).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Produkty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Wymiary</w:t>
            </w:r>
          </w:p>
          <w:p w:rsidR="00000000" w:rsidDel="00000000" w:rsidP="00000000" w:rsidRDefault="00000000" w:rsidRPr="00000000" w14:paraId="00000048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254 × 134 × 52 mm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10.00″ × 5.27″ × 2.05″</w:t>
            </w:r>
          </w:p>
          <w:p w:rsidR="00000000" w:rsidDel="00000000" w:rsidP="00000000" w:rsidRDefault="00000000" w:rsidRPr="00000000" w14:paraId="0000004A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Waga</w:t>
            </w:r>
          </w:p>
          <w:p w:rsidR="00000000" w:rsidDel="00000000" w:rsidP="00000000" w:rsidRDefault="00000000" w:rsidRPr="00000000" w14:paraId="0000004C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3.51 kg</w:t>
            </w:r>
          </w:p>
          <w:p w:rsidR="00000000" w:rsidDel="00000000" w:rsidP="00000000" w:rsidRDefault="00000000" w:rsidRPr="00000000" w14:paraId="0000004D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7.74 lb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Złącze ładowania baterii</w:t>
            </w:r>
          </w:p>
          <w:p w:rsidR="00000000" w:rsidDel="00000000" w:rsidP="00000000" w:rsidRDefault="00000000" w:rsidRPr="00000000" w14:paraId="00000050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XT60 lub odpowiednik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Złącze do podłączania baterii do huba</w:t>
            </w:r>
          </w:p>
          <w:p w:rsidR="00000000" w:rsidDel="00000000" w:rsidP="00000000" w:rsidRDefault="00000000" w:rsidRPr="00000000" w14:paraId="00000053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Molex 2139-2 lub podobny</w:t>
            </w:r>
          </w:p>
          <w:p w:rsidR="00000000" w:rsidDel="00000000" w:rsidP="00000000" w:rsidRDefault="00000000" w:rsidRPr="00000000" w14:paraId="00000054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Dopuszczalna temperatura pracy</w:t>
            </w:r>
          </w:p>
          <w:p w:rsidR="00000000" w:rsidDel="00000000" w:rsidP="00000000" w:rsidRDefault="00000000" w:rsidRPr="00000000" w14:paraId="00000056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Nova Mono" w:cs="Nova Mono" w:eastAsia="Nova Mono" w:hAnsi="Nova Mono"/>
                <w:sz w:val="24"/>
                <w:szCs w:val="24"/>
                <w:highlight w:val="white"/>
                <w:rtl w:val="0"/>
              </w:rPr>
              <w:t xml:space="preserve">od −25 °C do +65 °C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Nova Mono" w:cs="Nova Mono" w:eastAsia="Nova Mono" w:hAnsi="Nova Mono"/>
                <w:sz w:val="24"/>
                <w:szCs w:val="24"/>
                <w:highlight w:val="white"/>
                <w:rtl w:val="0"/>
              </w:rPr>
              <w:t xml:space="preserve">od −13 °F do 149 °F</w:t>
            </w:r>
          </w:p>
          <w:p w:rsidR="00000000" w:rsidDel="00000000" w:rsidP="00000000" w:rsidRDefault="00000000" w:rsidRPr="00000000" w14:paraId="00000058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Wilgotność względna podczas pracy</w:t>
            </w:r>
          </w:p>
          <w:p w:rsidR="00000000" w:rsidDel="00000000" w:rsidP="00000000" w:rsidRDefault="00000000" w:rsidRPr="00000000" w14:paraId="0000005A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60 ± 25%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Pełny zestaw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Internal battery RB (6.4V/78Ah)</w:t>
            </w:r>
          </w:p>
        </w:tc>
      </w:tr>
      <w:tr>
        <w:trPr>
          <w:cantSplit w:val="0"/>
          <w:trHeight w:val="652.5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Gwarancja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24 miesiące</w:t>
            </w:r>
          </w:p>
        </w:tc>
      </w:tr>
    </w:tbl>
    <w:p w:rsidR="00000000" w:rsidDel="00000000" w:rsidP="00000000" w:rsidRDefault="00000000" w:rsidRPr="00000000" w14:paraId="0000005F">
      <w:pPr>
        <w:spacing w:line="276" w:lineRule="auto"/>
        <w:ind w:right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sectPr>
      <w:headerReference r:id="rId6" w:type="first"/>
      <w:headerReference r:id="rId7" w:type="even"/>
      <w:footerReference r:id="rId8" w:type="first"/>
      <w:footerReference r:id="rId9" w:type="even"/>
      <w:pgSz w:h="16838" w:w="11906" w:orient="portrait"/>
      <w:pgMar w:bottom="566" w:top="566" w:left="566" w:right="566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va Mono">
    <w:embedRegular w:fontKey="{00000000-0000-0000-0000-000000000000}" r:id="rId5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NovaMono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