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widowControl w:val="0"/>
        <w:jc w:val="center"/>
        <w:rPr/>
      </w:pPr>
      <w:bookmarkStart w:colFirst="0" w:colLast="0" w:name="_8yaejbiaz9q8" w:id="0"/>
      <w:bookmarkEnd w:id="0"/>
      <w:r w:rsidDel="00000000" w:rsidR="00000000" w:rsidRPr="00000000">
        <w:rPr>
          <w:rtl w:val="0"/>
        </w:rPr>
        <w:t xml:space="preserve">Internal battery NB (7.2V/190Ah)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sp8hkg1mwizf" w:id="1"/>
      <w:bookmarkEnd w:id="1"/>
      <w:r w:rsidDel="00000000" w:rsidR="00000000" w:rsidRPr="00000000">
        <w:rPr>
          <w:rtl w:val="0"/>
        </w:rPr>
        <w:t xml:space="preserve">Zestaw 20 baterii jednorazowego użytku LTC ER34615-LD do zainstalowania w Case D (430)</w:t>
      </w:r>
    </w:p>
    <w:tbl>
      <w:tblPr>
        <w:tblStyle w:val="Table1"/>
        <w:tblW w:w="11850.0" w:type="dxa"/>
        <w:jc w:val="left"/>
        <w:tblInd w:w="-10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90"/>
        <w:gridCol w:w="7860"/>
        <w:tblGridChange w:id="0">
          <w:tblGrid>
            <w:gridCol w:w="3990"/>
            <w:gridCol w:w="786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Rodzaj baterii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Baterie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20 × ER34615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rtl w:val="0"/>
              </w:rPr>
              <w:t xml:space="preserve">Bateria litowo-tionylowa jednorazowego użytku z kondensatorem impulsowym HPC-1520.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Napięcie nominalne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7,2 V⎓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Pojemność nominalna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190 Ah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rtl w:val="0"/>
              </w:rPr>
              <w:t xml:space="preserve">Przy poborze prądu 10 mA (z włączonym Trybem oszczędzania energii baterii), temperaturze 25 °C i prawidłowym umieszczeniu baterii w obudowie Ajax. Niskie temperatury mogą zmniejszyć pojemność baterii i skrócić jej żywotność.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Maksymalny prąd obciążenia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700 mA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Napięcie baterii na koniec okresu eksploatacji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4 V⎓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Uwagi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Nie należy zwierać zacisków zasilania.</w:t>
            </w:r>
          </w:p>
          <w:p w:rsidR="00000000" w:rsidDel="00000000" w:rsidP="00000000" w:rsidRDefault="00000000" w:rsidRPr="00000000" w14:paraId="00000016">
            <w:pPr>
              <w:widowControl w:val="0"/>
              <w:spacing w:after="200"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Nie należy ładować baterii.</w:t>
            </w:r>
          </w:p>
          <w:p w:rsidR="00000000" w:rsidDel="00000000" w:rsidP="00000000" w:rsidRDefault="00000000" w:rsidRPr="00000000" w14:paraId="00000017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Baterię należy stosować wyłącznie z kompatybilnymi urządzeniami.</w:t>
            </w:r>
          </w:p>
          <w:p w:rsidR="00000000" w:rsidDel="00000000" w:rsidP="00000000" w:rsidRDefault="00000000" w:rsidRPr="00000000" w14:paraId="00000018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Bateria jest przeznaczona wyłącznie do użytku wewnątrz pomieszczeń.</w:t>
            </w:r>
          </w:p>
          <w:p w:rsidR="00000000" w:rsidDel="00000000" w:rsidP="00000000" w:rsidRDefault="00000000" w:rsidRPr="00000000" w14:paraId="00000019">
            <w:pPr>
              <w:widowControl w:val="0"/>
              <w:spacing w:after="200"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Zabezpiecz baterię w obudowie za pomocą rzepu (dołączonego do pełnego zestawu Case D (430) i Case E (395)).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Produkty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182 × 124 × 64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7.17″ × 4.88″ × 2.52″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2.1 kg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4.63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Rodzaj złącza baterii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Molex 2139-2 lub podobny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rtl w:val="0"/>
              </w:rPr>
              <w:t xml:space="preserve">od −25 °C do +65 °C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rtl w:val="0"/>
              </w:rPr>
              <w:t xml:space="preserve">od −13 °F do 149 °F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Wilgotność robocza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od 40% do 80%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Pełny zestaw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Internal battery NB (7.2V/190Ah)</w:t>
            </w:r>
          </w:p>
        </w:tc>
      </w:tr>
      <w:tr>
        <w:trPr>
          <w:cantSplit w:val="0"/>
          <w:trHeight w:val="652.5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Gwarancja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line="276" w:lineRule="auto"/>
        <w:ind w:right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first"/>
      <w:headerReference r:id="rId7" w:type="even"/>
      <w:footerReference r:id="rId8" w:type="first"/>
      <w:footerReference r:id="rId9" w:type="even"/>
      <w:pgSz w:h="16838" w:w="11906" w:orient="portrait"/>
      <w:pgMar w:bottom="566" w:top="566" w:left="566" w:right="5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