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widowControl w:val="0"/>
        <w:spacing w:line="240" w:lineRule="auto"/>
        <w:jc w:val="center"/>
        <w:rPr/>
      </w:pPr>
      <w:bookmarkStart w:colFirst="0" w:colLast="0" w:name="_qsakyolc69n" w:id="0"/>
      <w:bookmarkEnd w:id="0"/>
      <w:r w:rsidDel="00000000" w:rsidR="00000000" w:rsidRPr="00000000">
        <w:rPr>
          <w:rtl w:val="0"/>
        </w:rPr>
        <w:t xml:space="preserve">FireProtect 2 RB (Heat/CO) Jeweller</w:t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  <w:t xml:space="preserve">Bezprzewodowy czujnik ciepła i tlenku węgla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1295.0" w:type="dxa"/>
        <w:jc w:val="left"/>
        <w:tblInd w:w="-192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920"/>
        <w:gridCol w:w="6375"/>
        <w:tblGridChange w:id="0">
          <w:tblGrid>
            <w:gridCol w:w="4920"/>
            <w:gridCol w:w="637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4">
            <w:pPr>
              <w:spacing w:line="240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Połączenie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5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2"/>
              <w:tblW w:w="3391.0" w:type="dxa"/>
              <w:jc w:val="left"/>
              <w:tblBorders>
                <w:top w:color="000000" w:space="0" w:sz="8" w:val="single"/>
                <w:left w:color="000000" w:space="0" w:sz="8" w:val="single"/>
                <w:bottom w:color="000000" w:space="0" w:sz="8" w:val="single"/>
                <w:right w:color="000000" w:space="0" w:sz="8" w:val="single"/>
                <w:insideH w:color="000000" w:space="0" w:sz="8" w:val="single"/>
                <w:insideV w:color="000000" w:space="0" w:sz="8" w:val="single"/>
              </w:tblBorders>
              <w:tblLayout w:type="fixed"/>
              <w:tblLook w:val="0600"/>
            </w:tblPr>
            <w:tblGrid>
              <w:gridCol w:w="3391"/>
              <w:tblGridChange w:id="0">
                <w:tblGrid>
                  <w:gridCol w:w="3391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tcBorders>
                    <w:top w:color="ffffff" w:space="0" w:sz="8" w:val="single"/>
                    <w:left w:color="ffffff" w:space="0" w:sz="8" w:val="single"/>
                    <w:bottom w:color="ffffff" w:space="0" w:sz="8" w:val="single"/>
                    <w:right w:color="ffffff" w:space="0" w:sz="8" w:val="single"/>
                  </w:tcBorders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06">
                  <w:pPr>
                    <w:widowControl w:val="0"/>
                    <w:spacing w:line="240" w:lineRule="auto"/>
                    <w:rPr>
                      <w:rFonts w:ascii="Roboto" w:cs="Roboto" w:eastAsia="Roboto" w:hAnsi="Roboto"/>
                      <w:b w:val="1"/>
                      <w:bCs w:val="1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b w:val="1"/>
                      <w:bCs w:val="1"/>
                      <w:rtl w:val="0"/>
                    </w:rPr>
                    <w:t xml:space="preserve">Technologia komunikacji Jeweller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tcBorders>
                    <w:top w:color="ffffff" w:space="0" w:sz="8" w:val="single"/>
                    <w:left w:color="ffffff" w:space="0" w:sz="8" w:val="single"/>
                    <w:bottom w:color="ffffff" w:space="0" w:sz="8" w:val="single"/>
                    <w:right w:color="ffffff" w:space="0" w:sz="8" w:val="single"/>
                  </w:tcBorders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07">
                  <w:pPr>
                    <w:widowControl w:val="0"/>
                    <w:spacing w:line="276" w:lineRule="auto"/>
                    <w:rPr>
                      <w:rFonts w:ascii="Roboto" w:cs="Roboto" w:eastAsia="Roboto" w:hAnsi="Roboto"/>
                      <w:color w:val="666666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color w:val="666666"/>
                      <w:rtl w:val="0"/>
                    </w:rPr>
                    <w:t xml:space="preserve">Autorska technologia komunikacji bezprzewodowej do przesyłania alarmów i zdarzeń.</w:t>
                  </w:r>
                </w:p>
                <w:p w:rsidR="00000000" w:rsidDel="00000000" w:rsidP="00000000" w:rsidRDefault="00000000" w:rsidRPr="00000000" w14:paraId="00000008">
                  <w:pPr>
                    <w:widowControl w:val="0"/>
                    <w:spacing w:line="276" w:lineRule="auto"/>
                    <w:rPr>
                      <w:rFonts w:ascii="Roboto" w:cs="Roboto" w:eastAsia="Roboto" w:hAnsi="Roboto"/>
                      <w:color w:val="66666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09">
                  <w:pPr>
                    <w:spacing w:line="240" w:lineRule="auto"/>
                    <w:rPr>
                      <w:rFonts w:ascii="Roboto" w:cs="Roboto" w:eastAsia="Roboto" w:hAnsi="Roboto"/>
                      <w:color w:val="666666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color w:val="666666"/>
                      <w:rtl w:val="0"/>
                    </w:rPr>
                    <w:t xml:space="preserve">Funkcje:</w:t>
                  </w:r>
                </w:p>
                <w:p w:rsidR="00000000" w:rsidDel="00000000" w:rsidP="00000000" w:rsidRDefault="00000000" w:rsidRPr="00000000" w14:paraId="0000000A">
                  <w:pPr>
                    <w:spacing w:line="240" w:lineRule="auto"/>
                    <w:rPr>
                      <w:rFonts w:ascii="Roboto" w:cs="Roboto" w:eastAsia="Roboto" w:hAnsi="Roboto"/>
                      <w:color w:val="66666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0B">
                  <w:pPr>
                    <w:widowControl w:val="0"/>
                    <w:numPr>
                      <w:ilvl w:val="0"/>
                      <w:numId w:val="3"/>
                    </w:numPr>
                    <w:spacing w:line="276" w:lineRule="auto"/>
                    <w:ind w:left="720" w:hanging="360"/>
                    <w:rPr>
                      <w:rFonts w:ascii="Roboto" w:cs="Roboto" w:eastAsia="Roboto" w:hAnsi="Roboto"/>
                      <w:color w:val="666666"/>
                      <w:u w:val="none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color w:val="666666"/>
                      <w:rtl w:val="0"/>
                    </w:rPr>
                    <w:t xml:space="preserve">Dwukierunkowa komunikacja.</w:t>
                  </w:r>
                </w:p>
                <w:p w:rsidR="00000000" w:rsidDel="00000000" w:rsidP="00000000" w:rsidRDefault="00000000" w:rsidRPr="00000000" w14:paraId="0000000C">
                  <w:pPr>
                    <w:widowControl w:val="0"/>
                    <w:spacing w:line="276" w:lineRule="auto"/>
                    <w:ind w:left="720" w:firstLine="0"/>
                    <w:rPr>
                      <w:rFonts w:ascii="Roboto" w:cs="Roboto" w:eastAsia="Roboto" w:hAnsi="Roboto"/>
                      <w:color w:val="666666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color w:val="666666"/>
                      <w:rtl w:val="0"/>
                    </w:rPr>
                    <w:t xml:space="preserve">Ochrona przed sabotażem.</w:t>
                  </w:r>
                </w:p>
                <w:p w:rsidR="00000000" w:rsidDel="00000000" w:rsidP="00000000" w:rsidRDefault="00000000" w:rsidRPr="00000000" w14:paraId="0000000D">
                  <w:pPr>
                    <w:widowControl w:val="0"/>
                    <w:numPr>
                      <w:ilvl w:val="0"/>
                      <w:numId w:val="3"/>
                    </w:numPr>
                    <w:spacing w:line="276" w:lineRule="auto"/>
                    <w:ind w:left="720" w:hanging="360"/>
                    <w:rPr>
                      <w:rFonts w:ascii="Roboto" w:cs="Roboto" w:eastAsia="Roboto" w:hAnsi="Roboto"/>
                      <w:color w:val="666666"/>
                      <w:u w:val="none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color w:val="666666"/>
                      <w:rtl w:val="0"/>
                    </w:rPr>
                    <w:t xml:space="preserve">Szyfrowanie blokowe z kluczem dynamicznym.</w:t>
                  </w:r>
                </w:p>
                <w:p w:rsidR="00000000" w:rsidDel="00000000" w:rsidP="00000000" w:rsidRDefault="00000000" w:rsidRPr="00000000" w14:paraId="0000000E">
                  <w:pPr>
                    <w:widowControl w:val="0"/>
                    <w:numPr>
                      <w:ilvl w:val="0"/>
                      <w:numId w:val="3"/>
                    </w:numPr>
                    <w:spacing w:line="276" w:lineRule="auto"/>
                    <w:ind w:left="720" w:hanging="360"/>
                    <w:rPr>
                      <w:rFonts w:ascii="Roboto" w:cs="Roboto" w:eastAsia="Roboto" w:hAnsi="Roboto"/>
                      <w:color w:val="666666"/>
                      <w:u w:val="none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color w:val="666666"/>
                      <w:rtl w:val="0"/>
                    </w:rPr>
                    <w:t xml:space="preserve">Natychmiastowe powiadomienia.</w:t>
                  </w:r>
                </w:p>
                <w:p w:rsidR="00000000" w:rsidDel="00000000" w:rsidP="00000000" w:rsidRDefault="00000000" w:rsidRPr="00000000" w14:paraId="0000000F">
                  <w:pPr>
                    <w:widowControl w:val="0"/>
                    <w:numPr>
                      <w:ilvl w:val="0"/>
                      <w:numId w:val="3"/>
                    </w:numPr>
                    <w:spacing w:line="276" w:lineRule="auto"/>
                    <w:ind w:left="720" w:hanging="360"/>
                    <w:rPr>
                      <w:rFonts w:ascii="Roboto" w:cs="Roboto" w:eastAsia="Roboto" w:hAnsi="Roboto"/>
                      <w:color w:val="666666"/>
                      <w:u w:val="none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color w:val="666666"/>
                      <w:rtl w:val="0"/>
                    </w:rPr>
                    <w:t xml:space="preserve">Zdalna konfiguracja za pomocą aplikacji Ajax.</w:t>
                  </w:r>
                </w:p>
                <w:p w:rsidR="00000000" w:rsidDel="00000000" w:rsidP="00000000" w:rsidRDefault="00000000" w:rsidRPr="00000000" w14:paraId="00000010">
                  <w:pPr>
                    <w:widowControl w:val="0"/>
                    <w:spacing w:line="276" w:lineRule="auto"/>
                    <w:rPr>
                      <w:rFonts w:ascii="Roboto" w:cs="Roboto" w:eastAsia="Roboto" w:hAnsi="Roboto"/>
                      <w:b w:val="1"/>
                      <w:bCs w:val="1"/>
                      <w:u w:val="singl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11">
                  <w:pPr>
                    <w:widowControl w:val="0"/>
                    <w:spacing w:line="276" w:lineRule="auto"/>
                    <w:rPr>
                      <w:rFonts w:ascii="Roboto" w:cs="Roboto" w:eastAsia="Roboto" w:hAnsi="Roboto"/>
                      <w:b w:val="1"/>
                      <w:bCs w:val="1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b w:val="1"/>
                      <w:bCs w:val="1"/>
                      <w:rtl w:val="0"/>
                    </w:rPr>
                    <w:t xml:space="preserve">Pasma częstotliwości radiowych</w:t>
                  </w:r>
                </w:p>
                <w:p w:rsidR="00000000" w:rsidDel="00000000" w:rsidP="00000000" w:rsidRDefault="00000000" w:rsidRPr="00000000" w14:paraId="00000012">
                  <w:pPr>
                    <w:widowControl w:val="0"/>
                    <w:spacing w:line="276" w:lineRule="auto"/>
                    <w:rPr>
                      <w:rFonts w:ascii="Roboto" w:cs="Roboto" w:eastAsia="Roboto" w:hAnsi="Roboto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rtl w:val="0"/>
                    </w:rPr>
                    <w:t xml:space="preserve">866,0–866,5 MHz</w:t>
                  </w:r>
                </w:p>
                <w:p w:rsidR="00000000" w:rsidDel="00000000" w:rsidP="00000000" w:rsidRDefault="00000000" w:rsidRPr="00000000" w14:paraId="00000013">
                  <w:pPr>
                    <w:widowControl w:val="0"/>
                    <w:spacing w:line="276" w:lineRule="auto"/>
                    <w:rPr>
                      <w:rFonts w:ascii="Roboto" w:cs="Roboto" w:eastAsia="Roboto" w:hAnsi="Roboto"/>
                    </w:rPr>
                  </w:pPr>
                  <w:r w:rsidDel="00000000" w:rsidR="00000000" w:rsidRPr="00000000">
                    <w:rPr>
                      <w:rFonts w:ascii="Nova Mono" w:cs="Nova Mono" w:eastAsia="Nova Mono" w:hAnsi="Nova Mono"/>
                      <w:rtl w:val="0"/>
                    </w:rPr>
                    <w:t xml:space="preserve">868,0−868,6 MHz</w:t>
                  </w:r>
                </w:p>
                <w:p w:rsidR="00000000" w:rsidDel="00000000" w:rsidP="00000000" w:rsidRDefault="00000000" w:rsidRPr="00000000" w14:paraId="00000014">
                  <w:pPr>
                    <w:widowControl w:val="0"/>
                    <w:spacing w:line="276" w:lineRule="auto"/>
                    <w:rPr>
                      <w:rFonts w:ascii="Roboto" w:cs="Roboto" w:eastAsia="Roboto" w:hAnsi="Roboto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rtl w:val="0"/>
                    </w:rPr>
                    <w:t xml:space="preserve">868,7–869,2 MHz</w:t>
                  </w:r>
                </w:p>
                <w:p w:rsidR="00000000" w:rsidDel="00000000" w:rsidP="00000000" w:rsidRDefault="00000000" w:rsidRPr="00000000" w14:paraId="00000015">
                  <w:pPr>
                    <w:widowControl w:val="0"/>
                    <w:spacing w:line="276" w:lineRule="auto"/>
                    <w:rPr>
                      <w:rFonts w:ascii="Roboto" w:cs="Roboto" w:eastAsia="Roboto" w:hAnsi="Roboto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rtl w:val="0"/>
                    </w:rPr>
                    <w:t xml:space="preserve">905,0–926,5 MHz</w:t>
                  </w:r>
                </w:p>
                <w:p w:rsidR="00000000" w:rsidDel="00000000" w:rsidP="00000000" w:rsidRDefault="00000000" w:rsidRPr="00000000" w14:paraId="00000016">
                  <w:pPr>
                    <w:widowControl w:val="0"/>
                    <w:spacing w:line="276" w:lineRule="auto"/>
                    <w:rPr>
                      <w:rFonts w:ascii="Roboto" w:cs="Roboto" w:eastAsia="Roboto" w:hAnsi="Roboto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rtl w:val="0"/>
                    </w:rPr>
                    <w:t xml:space="preserve">915,85–926,5 MHz</w:t>
                  </w:r>
                </w:p>
                <w:p w:rsidR="00000000" w:rsidDel="00000000" w:rsidP="00000000" w:rsidRDefault="00000000" w:rsidRPr="00000000" w14:paraId="00000017">
                  <w:pPr>
                    <w:widowControl w:val="0"/>
                    <w:spacing w:line="276" w:lineRule="auto"/>
                    <w:rPr>
                      <w:rFonts w:ascii="Roboto" w:cs="Roboto" w:eastAsia="Roboto" w:hAnsi="Roboto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rtl w:val="0"/>
                    </w:rPr>
                    <w:t xml:space="preserve">921,0–922,0 MHz</w:t>
                  </w:r>
                </w:p>
                <w:p w:rsidR="00000000" w:rsidDel="00000000" w:rsidP="00000000" w:rsidRDefault="00000000" w:rsidRPr="00000000" w14:paraId="00000018">
                  <w:pPr>
                    <w:widowControl w:val="0"/>
                    <w:spacing w:line="276" w:lineRule="auto"/>
                    <w:rPr>
                      <w:rFonts w:ascii="Roboto" w:cs="Roboto" w:eastAsia="Roboto" w:hAnsi="Roboto"/>
                      <w:b w:val="1"/>
                      <w:bCs w:val="1"/>
                      <w:color w:val="666666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color w:val="666666"/>
                      <w:rtl w:val="0"/>
                    </w:rPr>
                    <w:t xml:space="preserve">Zależnie od regionu sprzedaży.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19">
                  <w:pPr>
                    <w:widowControl w:val="0"/>
                    <w:spacing w:line="276" w:lineRule="auto"/>
                    <w:rPr>
                      <w:rFonts w:ascii="Roboto" w:cs="Roboto" w:eastAsia="Roboto" w:hAnsi="Roboto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1A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Maksymalna efektywna moc wypromieniowana (ERP)</w:t>
            </w:r>
          </w:p>
          <w:p w:rsidR="00000000" w:rsidDel="00000000" w:rsidP="00000000" w:rsidRDefault="00000000" w:rsidRPr="00000000" w14:paraId="0000001B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do 20 mW</w:t>
            </w:r>
          </w:p>
          <w:p w:rsidR="00000000" w:rsidDel="00000000" w:rsidP="00000000" w:rsidRDefault="00000000" w:rsidRPr="00000000" w14:paraId="0000001C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Automatyczne sterowanie mocą w celu zmniejszenia zakłóceń i zużycia energii.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Modulacja sygnału radiowego</w:t>
            </w:r>
          </w:p>
          <w:p w:rsidR="00000000" w:rsidDel="00000000" w:rsidP="00000000" w:rsidRDefault="00000000" w:rsidRPr="00000000" w14:paraId="0000001F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GFSK</w:t>
            </w:r>
          </w:p>
          <w:p w:rsidR="00000000" w:rsidDel="00000000" w:rsidP="00000000" w:rsidRDefault="00000000" w:rsidRPr="00000000" w14:paraId="00000020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Zasięg komunikacji radiowej</w:t>
            </w:r>
          </w:p>
          <w:p w:rsidR="00000000" w:rsidDel="00000000" w:rsidP="00000000" w:rsidRDefault="00000000" w:rsidRPr="00000000" w14:paraId="00000022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do 1700 m</w:t>
            </w:r>
          </w:p>
          <w:p w:rsidR="00000000" w:rsidDel="00000000" w:rsidP="00000000" w:rsidRDefault="00000000" w:rsidRPr="00000000" w14:paraId="00000023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do 5500 ft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Między czujnikiem a hubem (lub podwajaczem zasięgu radiowego) w otwartej przestrzeni.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Szyfrowana komunikacja radiowa</w:t>
            </w:r>
          </w:p>
          <w:p w:rsidR="00000000" w:rsidDel="00000000" w:rsidP="00000000" w:rsidRDefault="00000000" w:rsidRPr="00000000" w14:paraId="00000027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Wszystkie przechowywane i przesyłane dane są chronione za pomocą szyfrowania blokowego z kluczem dynamicznym.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Skokowa zmiana częstotliwości radiowej</w:t>
            </w:r>
          </w:p>
          <w:p w:rsidR="00000000" w:rsidDel="00000000" w:rsidP="00000000" w:rsidRDefault="00000000" w:rsidRPr="00000000" w14:paraId="0000002A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u w:val="singl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Aby zapobiec zakłóceniom radiowym i zagłuszaniu.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B">
            <w:pPr>
              <w:spacing w:line="240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Elementy wykrywające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C">
            <w:pPr>
              <w:widowControl w:val="0"/>
              <w:numPr>
                <w:ilvl w:val="0"/>
                <w:numId w:val="1"/>
              </w:numPr>
              <w:spacing w:line="276" w:lineRule="auto"/>
              <w:ind w:left="720" w:hanging="36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sensor ciepła</w:t>
            </w:r>
          </w:p>
          <w:p w:rsidR="00000000" w:rsidDel="00000000" w:rsidP="00000000" w:rsidRDefault="00000000" w:rsidRPr="00000000" w14:paraId="0000002D">
            <w:pPr>
              <w:widowControl w:val="0"/>
              <w:numPr>
                <w:ilvl w:val="0"/>
                <w:numId w:val="1"/>
              </w:numPr>
              <w:spacing w:line="276" w:lineRule="auto"/>
              <w:ind w:left="720" w:hanging="36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sensor CO (tlenku węgla)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E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Wykrywanie niebezpiecznej temperatury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F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Element wykrywający</w:t>
            </w:r>
          </w:p>
          <w:p w:rsidR="00000000" w:rsidDel="00000000" w:rsidP="00000000" w:rsidRDefault="00000000" w:rsidRPr="00000000" w14:paraId="00000030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zgodnie z wymaganiami dla czujników ciepła klasy A1R</w:t>
            </w:r>
          </w:p>
          <w:p w:rsidR="00000000" w:rsidDel="00000000" w:rsidP="00000000" w:rsidRDefault="00000000" w:rsidRPr="00000000" w14:paraId="00000031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Wymagania norm EN 54-5 i BS 5446-2.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Alarm wysokiej temperatury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przy temperaturze powyżej 64°C</w:t>
            </w:r>
          </w:p>
          <w:p w:rsidR="00000000" w:rsidDel="00000000" w:rsidP="00000000" w:rsidRDefault="00000000" w:rsidRPr="00000000" w14:paraId="00000035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przy temperaturze powyżej 147°F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Alarm skoku temperatury</w:t>
            </w:r>
          </w:p>
          <w:p w:rsidR="00000000" w:rsidDel="00000000" w:rsidP="00000000" w:rsidRDefault="00000000" w:rsidRPr="00000000" w14:paraId="00000038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gdy temperatura wzrasta o więcej niż 10°C </w:t>
            </w:r>
            <w:r w:rsidDel="00000000" w:rsidR="00000000" w:rsidRPr="00000000">
              <w:rPr>
                <w:rFonts w:ascii="Roboto" w:cs="Roboto" w:eastAsia="Roboto" w:hAnsi="Roboto"/>
                <w:color w:val="181818"/>
                <w:rtl w:val="0"/>
              </w:rPr>
              <w:t xml:space="preserve">50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°</w:t>
            </w:r>
            <w:r w:rsidDel="00000000" w:rsidR="00000000" w:rsidRPr="00000000">
              <w:rPr>
                <w:rFonts w:ascii="Roboto" w:cs="Roboto" w:eastAsia="Roboto" w:hAnsi="Roboto"/>
                <w:color w:val="181818"/>
                <w:rtl w:val="0"/>
              </w:rPr>
              <w:t xml:space="preserve">F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 w czasie 1 minuty lub krótszym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9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Wykrywanie tlenku węgla (CO)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A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Element wykrywający</w:t>
            </w:r>
          </w:p>
          <w:p w:rsidR="00000000" w:rsidDel="00000000" w:rsidP="00000000" w:rsidRDefault="00000000" w:rsidRPr="00000000" w14:paraId="0000003B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chemiczny czujnik CO</w:t>
            </w:r>
          </w:p>
          <w:p w:rsidR="00000000" w:rsidDel="00000000" w:rsidP="00000000" w:rsidRDefault="00000000" w:rsidRPr="00000000" w14:paraId="0000003C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Alarm w przypadku przekroczenia skumulowanej dawki CO</w:t>
            </w:r>
          </w:p>
          <w:p w:rsidR="00000000" w:rsidDel="00000000" w:rsidP="00000000" w:rsidRDefault="00000000" w:rsidRPr="00000000" w14:paraId="0000003E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więcej niż 50 ppm (0,005%) — w czasie do 90 minut</w:t>
            </w:r>
          </w:p>
          <w:p w:rsidR="00000000" w:rsidDel="00000000" w:rsidP="00000000" w:rsidRDefault="00000000" w:rsidRPr="00000000" w14:paraId="0000003F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więcej niż 100 ppm (0,01%) — w czasie do 40 minut</w:t>
            </w:r>
          </w:p>
          <w:p w:rsidR="00000000" w:rsidDel="00000000" w:rsidP="00000000" w:rsidRDefault="00000000" w:rsidRPr="00000000" w14:paraId="00000040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więcej niż 300 ppm (0,03%) — w czasie do 3 minut</w:t>
            </w:r>
          </w:p>
          <w:p w:rsidR="00000000" w:rsidDel="00000000" w:rsidP="00000000" w:rsidRDefault="00000000" w:rsidRPr="00000000" w14:paraId="00000041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Stężenie CO o wartości 400 ppm (0,04%) w ciągu 3 godzin może zagrażać życiu. Czujnik przestaje informować o niebezpiecznym poziomie tlenku węgla, gdy jego stężenie spadnie do 50 ppm (0,005%) w ciągu jednej minuty.</w:t>
            </w:r>
          </w:p>
          <w:p w:rsidR="00000000" w:rsidDel="00000000" w:rsidP="00000000" w:rsidRDefault="00000000" w:rsidRPr="00000000" w14:paraId="00000042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Żywotność sensora</w:t>
            </w:r>
          </w:p>
          <w:p w:rsidR="00000000" w:rsidDel="00000000" w:rsidP="00000000" w:rsidRDefault="00000000" w:rsidRPr="00000000" w14:paraId="00000044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10 lat</w:t>
            </w:r>
          </w:p>
          <w:p w:rsidR="00000000" w:rsidDel="00000000" w:rsidP="00000000" w:rsidRDefault="00000000" w:rsidRPr="00000000" w14:paraId="00000045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Po 10 latach eksploatacji czujnik należy wymienić na nowy.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6">
            <w:pPr>
              <w:spacing w:line="240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Dodatkowe funkcje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7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Wbudowana syrena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głośność 85 dB w odległości 3 metrów</w:t>
            </w:r>
          </w:p>
          <w:p w:rsidR="00000000" w:rsidDel="00000000" w:rsidP="00000000" w:rsidRDefault="00000000" w:rsidRPr="00000000" w14:paraId="00000049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głośność 85 dB w odległości 9 ft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Dźwiękowe powiadamianie o alarmach. Aktywne do momentu wyeliminowania przyczyny wyzwolenia lub wyłączenia powiadomienia przez użytkownika.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Alarmy połączonych czujników pożarowych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poprzez połączenie główne</w:t>
            </w:r>
          </w:p>
          <w:p w:rsidR="00000000" w:rsidDel="00000000" w:rsidP="00000000" w:rsidRDefault="00000000" w:rsidRPr="00000000" w14:paraId="0000004E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Jeśli jeden z czujników pożarowych w systemie wykryje zagrożenie, wysyła alarm do huba. W ciągu 20 sekund hub inicjuje połączony alarm i wysyła dane do aplikacji Ajax.</w:t>
            </w:r>
          </w:p>
          <w:p w:rsidR="00000000" w:rsidDel="00000000" w:rsidP="00000000" w:rsidRDefault="00000000" w:rsidRPr="00000000" w14:paraId="0000004F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widowControl w:val="0"/>
              <w:spacing w:line="276" w:lineRule="auto"/>
              <w:rPr>
                <w:rFonts w:ascii="Roboto" w:cs="Roboto" w:eastAsia="Roboto" w:hAnsi="Roboto"/>
                <w:vertAlign w:val="superscript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poprzez połączenie zapasowe</w:t>
            </w:r>
            <w:r w:rsidDel="00000000" w:rsidR="00000000" w:rsidRPr="00000000">
              <w:rPr>
                <w:rFonts w:ascii="Roboto" w:cs="Roboto" w:eastAsia="Roboto" w:hAnsi="Roboto"/>
                <w:vertAlign w:val="superscript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51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Równocześnie z informowaniem huba, czujnik inicjujący wysyła także alarm bezpośrednio do innych czujników. Wszystkie podłączone czujniki aktywują sygnalizator w ciągu minuty. Działa to również w najgorszym przypadku, jeśli połączenie z hubem zostanie utracone.</w:t>
            </w:r>
          </w:p>
          <w:p w:rsidR="00000000" w:rsidDel="00000000" w:rsidP="00000000" w:rsidRDefault="00000000" w:rsidRPr="00000000" w14:paraId="00000052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color w:val="1155cc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vertAlign w:val="superscript"/>
                <w:rtl w:val="0"/>
              </w:rPr>
              <w:t xml:space="preserve">1</w:t>
            </w: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 Połączony alarm zapasowy jest dostępny tylko dla czujników FireProtect 2 z oprogramowaniem sprzętowym w wersji 5.59.2.ХХ lub nowszej. Urządzenia obsługujące połączony alarm zapasowy są oznaczone na opakowaniu etykietą "Fallback interconnect supported".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Wskazanie LED</w:t>
            </w:r>
          </w:p>
          <w:p w:rsidR="00000000" w:rsidDel="00000000" w:rsidP="00000000" w:rsidRDefault="00000000" w:rsidRPr="00000000" w14:paraId="00000056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zielony to wskazanie zasilania</w:t>
            </w:r>
          </w:p>
          <w:p w:rsidR="00000000" w:rsidDel="00000000" w:rsidP="00000000" w:rsidRDefault="00000000" w:rsidRPr="00000000" w14:paraId="00000057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Wskaźnik LED na obudowie urządzenia zapala się raz na 56 sekund. Wskazanie spełnia wymagania normy EN 50291.</w:t>
            </w:r>
          </w:p>
          <w:p w:rsidR="00000000" w:rsidDel="00000000" w:rsidP="00000000" w:rsidRDefault="00000000" w:rsidRPr="00000000" w14:paraId="00000058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żółty wskazuje nieprawidłowe działanie</w:t>
            </w:r>
          </w:p>
          <w:p w:rsidR="00000000" w:rsidDel="00000000" w:rsidP="00000000" w:rsidRDefault="00000000" w:rsidRPr="00000000" w14:paraId="0000005A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Wskaźnik LED na obudowie urządzenia zapala się w przypadku wykrycia nieprawidłowego działania. Na przykład w przypadku rozładowanych baterii, zanieczyszczenia komory dymowej lub zakończenia okresu użytkowania.</w:t>
            </w:r>
          </w:p>
          <w:p w:rsidR="00000000" w:rsidDel="00000000" w:rsidP="00000000" w:rsidRDefault="00000000" w:rsidRPr="00000000" w14:paraId="0000005B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czerwony wskazuje alarm pożarowy</w:t>
            </w:r>
          </w:p>
          <w:p w:rsidR="00000000" w:rsidDel="00000000" w:rsidP="00000000" w:rsidRDefault="00000000" w:rsidRPr="00000000" w14:paraId="0000005D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Wskaźnik LED na obudowie urządzenia zapala się, gdy czujnik zarejestruje alarm pożarowy.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Przycisk na panelu przednim czujnika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W trybie normalnym, po naciśnięciu rozpoczyna test komory dymowej. W przypadku alarmu lub awarii naciśnięcie wyłącza powiadomienie dźwiękowe czujnika.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</w:rPr>
              <w:drawing>
                <wp:inline distB="114300" distT="114300" distL="114300" distR="114300">
                  <wp:extent cx="530587" cy="530587"/>
                  <wp:effectExtent b="0" l="0" r="0" t="0"/>
                  <wp:docPr id="1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0587" cy="530587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color w:val="3c4043"/>
                <w:rtl w:val="0"/>
              </w:rPr>
              <w:t xml:space="preserve">Urządzenie przeznaczone jest wyłącznie do montażu wewnątrz pomieszczeń. Uchwyt montażowy SmartBracket umożliwia regulację położenia czujnika po instalacji.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3">
            <w:pPr>
              <w:spacing w:line="240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Ochrona przed sabotażem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4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Alarm o wykryciu manipulacji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Powiadamia o próbach oderwania czujnika od podłoża lub zdjęcia panelu montażowego.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Ochrona przed sabotażem</w:t>
            </w:r>
          </w:p>
          <w:p w:rsidR="00000000" w:rsidDel="00000000" w:rsidP="00000000" w:rsidRDefault="00000000" w:rsidRPr="00000000" w14:paraId="00000068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uwierzytelnianie urządzenia</w:t>
            </w:r>
          </w:p>
          <w:p w:rsidR="00000000" w:rsidDel="00000000" w:rsidP="00000000" w:rsidRDefault="00000000" w:rsidRPr="00000000" w14:paraId="00000069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Wykrywanie utraty łączności</w:t>
            </w:r>
          </w:p>
          <w:p w:rsidR="00000000" w:rsidDel="00000000" w:rsidP="00000000" w:rsidRDefault="00000000" w:rsidRPr="00000000" w14:paraId="0000006B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w ciągu 15 minut</w:t>
            </w:r>
          </w:p>
          <w:p w:rsidR="00000000" w:rsidDel="00000000" w:rsidP="00000000" w:rsidRDefault="00000000" w:rsidRPr="00000000" w14:paraId="0000006C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u w:val="singl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Czas wykrycia utraty łączności zależy od ustawień liczby niedostarczonych pakietów danych (określonych w ustawieniach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666666"/>
                <w:rtl w:val="0"/>
              </w:rPr>
              <w:t xml:space="preserve">Jeweller</w:t>
            </w: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 lub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666666"/>
                <w:rtl w:val="0"/>
              </w:rPr>
              <w:t xml:space="preserve">Jeweller/Fibra</w:t>
            </w: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). Okres odpytywania jest ustawiony na 300 sekund.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D">
            <w:pPr>
              <w:spacing w:line="240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Zasilanie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E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FireProtect 2 RB (Heat/CO)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2 baterie CR123A</w:t>
            </w:r>
          </w:p>
          <w:p w:rsidR="00000000" w:rsidDel="00000000" w:rsidP="00000000" w:rsidRDefault="00000000" w:rsidRPr="00000000" w14:paraId="00000070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Do 7 lat pracy na baterii.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1">
            <w:pPr>
              <w:spacing w:line="240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Obudowa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2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Wymiary</w:t>
            </w:r>
          </w:p>
          <w:p w:rsidR="00000000" w:rsidDel="00000000" w:rsidP="00000000" w:rsidRDefault="00000000" w:rsidRPr="00000000" w14:paraId="00000073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44 </w:t>
            </w:r>
            <w:r w:rsidDel="00000000" w:rsidR="00000000" w:rsidRPr="00000000">
              <w:rPr>
                <w:rFonts w:ascii="Roboto" w:cs="Roboto" w:eastAsia="Roboto" w:hAnsi="Roboto"/>
                <w:color w:val="0f1111"/>
                <w:rtl w:val="0"/>
              </w:rPr>
              <w:t xml:space="preserve">×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 86 </w:t>
            </w:r>
            <w:r w:rsidDel="00000000" w:rsidR="00000000" w:rsidRPr="00000000">
              <w:rPr>
                <w:rFonts w:ascii="Roboto" w:cs="Roboto" w:eastAsia="Roboto" w:hAnsi="Roboto"/>
                <w:color w:val="0f1111"/>
                <w:rtl w:val="0"/>
              </w:rPr>
              <w:t xml:space="preserve">×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 86 mm</w:t>
            </w:r>
          </w:p>
          <w:p w:rsidR="00000000" w:rsidDel="00000000" w:rsidP="00000000" w:rsidRDefault="00000000" w:rsidRPr="00000000" w14:paraId="00000074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color w:val="181818"/>
                <w:rtl w:val="0"/>
              </w:rPr>
              <w:t xml:space="preserve">1,71″ × 3,39″ × 3,39″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widowControl w:val="0"/>
              <w:rPr>
                <w:rFonts w:ascii="Roboto" w:cs="Roboto" w:eastAsia="Roboto" w:hAnsi="Roboto"/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Waga</w:t>
            </w:r>
          </w:p>
          <w:p w:rsidR="00000000" w:rsidDel="00000000" w:rsidP="00000000" w:rsidRDefault="00000000" w:rsidRPr="00000000" w14:paraId="00000077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149 g</w:t>
            </w:r>
          </w:p>
          <w:p w:rsidR="00000000" w:rsidDel="00000000" w:rsidP="00000000" w:rsidRDefault="00000000" w:rsidRPr="00000000" w14:paraId="00000078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5,26 oz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Dopuszczalna temperatura pracy</w:t>
            </w:r>
          </w:p>
          <w:p w:rsidR="00000000" w:rsidDel="00000000" w:rsidP="00000000" w:rsidRDefault="00000000" w:rsidRPr="00000000" w14:paraId="0000007B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od 0°С do +50°С</w:t>
            </w:r>
          </w:p>
          <w:p w:rsidR="00000000" w:rsidDel="00000000" w:rsidP="00000000" w:rsidRDefault="00000000" w:rsidRPr="00000000" w14:paraId="0000007C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od 32°F do 122°F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Dopuszczalna wilgotność</w:t>
            </w:r>
          </w:p>
          <w:p w:rsidR="00000000" w:rsidDel="00000000" w:rsidP="00000000" w:rsidRDefault="00000000" w:rsidRPr="00000000" w14:paraId="0000007F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do 80%</w:t>
            </w:r>
          </w:p>
          <w:p w:rsidR="00000000" w:rsidDel="00000000" w:rsidP="00000000" w:rsidRDefault="00000000" w:rsidRPr="00000000" w14:paraId="00000080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Stopień ochrony</w:t>
            </w:r>
          </w:p>
          <w:p w:rsidR="00000000" w:rsidDel="00000000" w:rsidP="00000000" w:rsidRDefault="00000000" w:rsidRPr="00000000" w14:paraId="00000082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IP20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Kolory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widowControl w:val="0"/>
              <w:numPr>
                <w:ilvl w:val="0"/>
                <w:numId w:val="2"/>
              </w:numPr>
              <w:ind w:left="720" w:hanging="36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Czarny</w:t>
            </w:r>
          </w:p>
          <w:p w:rsidR="00000000" w:rsidDel="00000000" w:rsidP="00000000" w:rsidRDefault="00000000" w:rsidRPr="00000000" w14:paraId="00000085">
            <w:pPr>
              <w:widowControl w:val="0"/>
              <w:numPr>
                <w:ilvl w:val="0"/>
                <w:numId w:val="2"/>
              </w:numPr>
              <w:ind w:left="720" w:hanging="36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Biały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6">
            <w:pPr>
              <w:spacing w:line="240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Pełny zestaw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7">
            <w:pPr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FireProtect 2 RB (Heat/CO) Jeweller</w:t>
            </w:r>
          </w:p>
          <w:p w:rsidR="00000000" w:rsidDel="00000000" w:rsidP="00000000" w:rsidRDefault="00000000" w:rsidRPr="00000000" w14:paraId="00000088">
            <w:pPr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Uchwyt montażowy SmartBracket</w:t>
            </w:r>
          </w:p>
          <w:p w:rsidR="00000000" w:rsidDel="00000000" w:rsidP="00000000" w:rsidRDefault="00000000" w:rsidRPr="00000000" w14:paraId="00000089">
            <w:pPr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Zestaw instalacyjny</w:t>
            </w:r>
          </w:p>
          <w:p w:rsidR="00000000" w:rsidDel="00000000" w:rsidP="00000000" w:rsidRDefault="00000000" w:rsidRPr="00000000" w14:paraId="0000008A">
            <w:pPr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2 baterie CR123A (zainstalowane)</w:t>
            </w:r>
          </w:p>
          <w:p w:rsidR="00000000" w:rsidDel="00000000" w:rsidP="00000000" w:rsidRDefault="00000000" w:rsidRPr="00000000" w14:paraId="0000008B">
            <w:pPr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Krótka instrukcja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widowControl w:val="0"/>
              <w:spacing w:line="240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Gwarancja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widowControl w:val="0"/>
              <w:spacing w:line="240" w:lineRule="auto"/>
              <w:rPr>
                <w:rFonts w:ascii="Roboto" w:cs="Roboto" w:eastAsia="Roboto" w:hAnsi="Roboto"/>
                <w:b w:val="1"/>
                <w:bCs w:val="1"/>
                <w:color w:val="181818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24 miesiące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E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va Mono">
    <w:embedRegular w:fontKey="{00000000-0000-0000-0000-000000000000}" r:id="rId5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NovaMono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