
<file path=[Content_Types].xml><?xml version="1.0" encoding="utf-8"?>
<Types xmlns="http://schemas.openxmlformats.org/package/2006/content-types">
  <Default ContentType="application/xml" Extension="xml"/>
  <Default ContentType="application/x-font-ttf" Extension="ttf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vnd.openxmlformats-officedocument.wordprocessingml.styles+xml" PartName="/word/styles.xml"/>
  <Override ContentType="application/vnd.openxmlformats-officedocument.wordprocessingml.footer+xml" PartName="/word/footer3.xml"/>
  <Override ContentType="application/vnd.openxmlformats-officedocument.wordprocessingml.footer+xml" PartName="/word/footer2.xml"/>
  <Override ContentType="application/vnd.openxmlformats-officedocument.wordprocessingml.footer+xml" PartName="/word/footer1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3.xml"/>
  <Override ContentType="application/vnd.openxmlformats-officedocument.wordprocessingml.header+xml" PartName="/word/header2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ackground w:color="FFFFFF"/>
  <w:body>
    <w:p w:rsidR="00000000" w:rsidDel="00000000" w:rsidP="00000000" w:rsidRDefault="00000000" w:rsidRPr="00000000" w14:paraId="00000001">
      <w:pPr>
        <w:pStyle w:val="Heading1"/>
        <w:widowControl w:val="0"/>
        <w:jc w:val="center"/>
        <w:rPr>
          <w:rFonts w:ascii="Roboto" w:cs="Roboto" w:eastAsia="Roboto" w:hAnsi="Roboto"/>
        </w:rPr>
      </w:pPr>
      <w:bookmarkStart w:colFirst="0" w:colLast="0" w:name="_brcvby8ku5fs" w:id="0"/>
      <w:bookmarkEnd w:id="0"/>
      <w:r w:rsidDel="00000000" w:rsidR="00000000" w:rsidRPr="00000000">
        <w:rPr>
          <w:rFonts w:ascii="Roboto" w:cs="Roboto" w:eastAsia="Roboto" w:hAnsi="Roboto"/>
          <w:rtl w:val="0"/>
        </w:rPr>
        <w:t xml:space="preserve">EN54 I/O Module (2X2) Jeweller</w:t>
      </w:r>
    </w:p>
    <w:p w:rsidR="00000000" w:rsidDel="00000000" w:rsidP="00000000" w:rsidRDefault="00000000" w:rsidRPr="00000000" w14:paraId="00000002">
      <w:pPr>
        <w:pStyle w:val="Subtitle"/>
        <w:jc w:val="center"/>
        <w:rPr>
          <w:rFonts w:ascii="Roboto" w:cs="Roboto" w:eastAsia="Roboto" w:hAnsi="Roboto"/>
        </w:rPr>
      </w:pPr>
      <w:bookmarkStart w:colFirst="0" w:colLast="0" w:name="_4azr8flai6oz" w:id="1"/>
      <w:bookmarkEnd w:id="1"/>
      <w:r w:rsidDel="00000000" w:rsidR="00000000" w:rsidRPr="00000000">
        <w:rPr>
          <w:rFonts w:ascii="Roboto" w:cs="Roboto" w:eastAsia="Roboto" w:hAnsi="Roboto"/>
          <w:rtl w:val="0"/>
        </w:rPr>
        <w:t xml:space="preserve">Bezprzewodowy adresowalny moduł z dwoma wejściami i dwoma wyjściami dla systemu sygnalizacji pożaru</w:t>
      </w:r>
    </w:p>
    <w:tbl>
      <w:tblPr>
        <w:tblStyle w:val="Table1"/>
        <w:tblW w:w="10755.0" w:type="dxa"/>
        <w:jc w:val="left"/>
        <w:tblBorders>
          <w:top w:color="000000" w:space="0" w:sz="8" w:val="single"/>
          <w:left w:color="000000" w:space="0" w:sz="8" w:val="single"/>
          <w:bottom w:color="000000" w:space="0" w:sz="8" w:val="single"/>
          <w:right w:color="000000" w:space="0" w:sz="8" w:val="single"/>
          <w:insideH w:color="000000" w:space="0" w:sz="8" w:val="single"/>
          <w:insideV w:color="000000" w:space="0" w:sz="8" w:val="single"/>
        </w:tblBorders>
        <w:tblLayout w:type="fixed"/>
        <w:tblLook w:val="0600"/>
      </w:tblPr>
      <w:tblGrid>
        <w:gridCol w:w="2985"/>
        <w:gridCol w:w="7770"/>
        <w:tblGridChange w:id="0">
          <w:tblGrid>
            <w:gridCol w:w="2985"/>
            <w:gridCol w:w="7770"/>
          </w:tblGrid>
        </w:tblGridChange>
      </w:tblGrid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3">
            <w:pPr>
              <w:pStyle w:val="Heading3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</w:rPr>
            </w:pPr>
            <w:bookmarkStart w:colFirst="0" w:colLast="0" w:name="_hqzdzccc60r3" w:id="2"/>
            <w:bookmarkEnd w:id="2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  <w:rtl w:val="0"/>
              </w:rPr>
              <w:t xml:space="preserve">Komunikacja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0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Technologia komunikacji Jeweller</w:t>
            </w:r>
          </w:p>
          <w:p w:rsidR="00000000" w:rsidDel="00000000" w:rsidP="00000000" w:rsidRDefault="00000000" w:rsidRPr="00000000" w14:paraId="0000000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Autorska technologia komunikacji bezprzewodowej do przesyłania poleceń, alarmów i zdarzeń.</w:t>
            </w:r>
          </w:p>
          <w:p w:rsidR="00000000" w:rsidDel="00000000" w:rsidP="00000000" w:rsidRDefault="00000000" w:rsidRPr="00000000" w14:paraId="00000006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Najważniejsze cechy:</w:t>
            </w:r>
          </w:p>
          <w:p w:rsidR="00000000" w:rsidDel="00000000" w:rsidP="00000000" w:rsidRDefault="00000000" w:rsidRPr="00000000" w14:paraId="00000008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Kompletny zestaw zawiera płytkę styku antysabotażowego do ochrony urządzeń przed sabotażem.</w:t>
            </w:r>
          </w:p>
          <w:p w:rsidR="00000000" w:rsidDel="00000000" w:rsidP="00000000" w:rsidRDefault="00000000" w:rsidRPr="00000000" w14:paraId="00000009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Zaawansowana ochrona przed sabotażem.</w:t>
            </w:r>
          </w:p>
          <w:p w:rsidR="00000000" w:rsidDel="00000000" w:rsidP="00000000" w:rsidRDefault="00000000" w:rsidRPr="00000000" w14:paraId="0000000A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Szyfrowanie blokowe z kluczem dynamicznym.</w:t>
            </w:r>
          </w:p>
          <w:p w:rsidR="00000000" w:rsidDel="00000000" w:rsidP="00000000" w:rsidRDefault="00000000" w:rsidRPr="00000000" w14:paraId="0000000B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Natychmiastowe powiadomienia.</w:t>
            </w:r>
          </w:p>
          <w:p w:rsidR="00000000" w:rsidDel="00000000" w:rsidP="00000000" w:rsidRDefault="00000000" w:rsidRPr="00000000" w14:paraId="0000000C">
            <w:pPr>
              <w:keepNext w:val="0"/>
              <w:keepLines w:val="0"/>
              <w:pageBreakBefore w:val="0"/>
              <w:widowControl w:val="0"/>
              <w:numPr>
                <w:ilvl w:val="0"/>
                <w:numId w:val="4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Zdalne sterowanie i konfiguracja w aplikacjach Ajax.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D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0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Pasma częstotliwości</w:t>
            </w:r>
          </w:p>
          <w:p w:rsidR="00000000" w:rsidDel="00000000" w:rsidP="00000000" w:rsidRDefault="00000000" w:rsidRPr="00000000" w14:paraId="0000000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866,0–866,5 MHz</w:t>
            </w:r>
          </w:p>
          <w:p w:rsidR="00000000" w:rsidDel="00000000" w:rsidP="00000000" w:rsidRDefault="00000000" w:rsidRPr="00000000" w14:paraId="0000001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Nova Mono" w:cs="Nova Mono" w:eastAsia="Nova Mono" w:hAnsi="Nova Mon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868,0−868,6 MHz</w:t>
            </w:r>
          </w:p>
          <w:p w:rsidR="00000000" w:rsidDel="00000000" w:rsidP="00000000" w:rsidRDefault="00000000" w:rsidRPr="00000000" w14:paraId="0000001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868,7–869,2 MHz</w:t>
            </w:r>
          </w:p>
          <w:p w:rsidR="00000000" w:rsidDel="00000000" w:rsidP="00000000" w:rsidRDefault="00000000" w:rsidRPr="00000000" w14:paraId="0000001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905,0–926,5 MHz</w:t>
            </w:r>
          </w:p>
          <w:p w:rsidR="00000000" w:rsidDel="00000000" w:rsidP="00000000" w:rsidRDefault="00000000" w:rsidRPr="00000000" w14:paraId="0000001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915,85–926,5 MHz</w:t>
            </w:r>
          </w:p>
          <w:p w:rsidR="00000000" w:rsidDel="00000000" w:rsidP="00000000" w:rsidRDefault="00000000" w:rsidRPr="00000000" w14:paraId="0000001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921,0–922,0 MHz</w:t>
            </w:r>
          </w:p>
          <w:p w:rsidR="00000000" w:rsidDel="00000000" w:rsidP="00000000" w:rsidRDefault="00000000" w:rsidRPr="00000000" w14:paraId="0000001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W zależności od regionu sprzedaży.</w:t>
            </w:r>
          </w:p>
          <w:p w:rsidR="00000000" w:rsidDel="00000000" w:rsidP="00000000" w:rsidRDefault="00000000" w:rsidRPr="00000000" w14:paraId="00000016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Maksymalna efektywna moc wypromieniowana (ERP)</w:t>
            </w:r>
          </w:p>
          <w:p w:rsidR="00000000" w:rsidDel="00000000" w:rsidP="00000000" w:rsidRDefault="00000000" w:rsidRPr="00000000" w14:paraId="0000001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 20 mW</w:t>
            </w:r>
          </w:p>
          <w:p w:rsidR="00000000" w:rsidDel="00000000" w:rsidP="00000000" w:rsidRDefault="00000000" w:rsidRPr="00000000" w14:paraId="0000001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Automatyczna kontrola zasilania w celu zmniejszenia zużycia energii i zakłóceń radiowych.</w:t>
            </w:r>
          </w:p>
          <w:p w:rsidR="00000000" w:rsidDel="00000000" w:rsidP="00000000" w:rsidRDefault="00000000" w:rsidRPr="00000000" w14:paraId="0000001A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Modulacja sygnału radiowego</w:t>
            </w:r>
          </w:p>
          <w:p w:rsidR="00000000" w:rsidDel="00000000" w:rsidP="00000000" w:rsidRDefault="00000000" w:rsidRPr="00000000" w14:paraId="0000001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GFSK</w:t>
            </w:r>
          </w:p>
          <w:p w:rsidR="00000000" w:rsidDel="00000000" w:rsidP="00000000" w:rsidRDefault="00000000" w:rsidRPr="00000000" w14:paraId="0000001D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1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Zasięg sygnału radiowego</w:t>
            </w:r>
          </w:p>
          <w:p w:rsidR="00000000" w:rsidDel="00000000" w:rsidP="00000000" w:rsidRDefault="00000000" w:rsidRPr="00000000" w14:paraId="0000001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 1700 m</w:t>
            </w:r>
          </w:p>
          <w:p w:rsidR="00000000" w:rsidDel="00000000" w:rsidP="00000000" w:rsidRDefault="00000000" w:rsidRPr="00000000" w14:paraId="0000002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 5550 ft</w:t>
            </w:r>
          </w:p>
          <w:p w:rsidR="00000000" w:rsidDel="00000000" w:rsidP="00000000" w:rsidRDefault="00000000" w:rsidRPr="00000000" w14:paraId="0000002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highlight w:val="white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Pomiędzy urządzeniem a centralą sterującą i sygnalizacyjną (CIE) lub podwajaczem sygnału w otwartej przestrzeni.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2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Szyfrowana komunikacja</w:t>
            </w:r>
          </w:p>
          <w:p w:rsidR="00000000" w:rsidDel="00000000" w:rsidP="00000000" w:rsidRDefault="00000000" w:rsidRPr="00000000" w14:paraId="0000002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Wszystkie przechowywane i przesyłane dane są chronione za pomocą szyfrowania blokowego z kluczem dynamicznym.</w:t>
            </w:r>
          </w:p>
          <w:p w:rsidR="00000000" w:rsidDel="00000000" w:rsidP="00000000" w:rsidRDefault="00000000" w:rsidRPr="00000000" w14:paraId="00000025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Przeskakiwanie częstotliwości</w:t>
            </w:r>
          </w:p>
          <w:p w:rsidR="00000000" w:rsidDel="00000000" w:rsidP="00000000" w:rsidRDefault="00000000" w:rsidRPr="00000000" w14:paraId="0000002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highlight w:val="white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Aby zapobiec zakłóceniom radiowym i zagłuszaniu.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8">
            <w:pPr>
              <w:pStyle w:val="Heading3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</w:rPr>
            </w:pPr>
            <w:bookmarkStart w:colFirst="0" w:colLast="0" w:name="_dqvipiry7s3y" w:id="3"/>
            <w:bookmarkEnd w:id="3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  <w:rtl w:val="0"/>
              </w:rPr>
              <w:t xml:space="preserve">Wejścia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2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Liczba linii wejściowych dla urządzeń innych producentów</w:t>
            </w:r>
          </w:p>
          <w:p w:rsidR="00000000" w:rsidDel="00000000" w:rsidP="00000000" w:rsidRDefault="00000000" w:rsidRPr="00000000" w14:paraId="0000002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2</w:t>
            </w:r>
          </w:p>
          <w:p w:rsidR="00000000" w:rsidDel="00000000" w:rsidP="00000000" w:rsidRDefault="00000000" w:rsidRPr="00000000" w14:paraId="0000002B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2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Zaciski wejściowe</w:t>
            </w:r>
          </w:p>
          <w:p w:rsidR="00000000" w:rsidDel="00000000" w:rsidP="00000000" w:rsidRDefault="00000000" w:rsidRPr="00000000" w14:paraId="0000002D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Wejście 1, Wejście 2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 — wejścia do podłączenia urządzeń przewodowych innych firm.</w:t>
            </w:r>
          </w:p>
          <w:p w:rsidR="00000000" w:rsidDel="00000000" w:rsidP="00000000" w:rsidRDefault="00000000" w:rsidRPr="00000000" w14:paraId="0000002E">
            <w:pPr>
              <w:keepNext w:val="0"/>
              <w:keepLines w:val="0"/>
              <w:pageBreakBefore w:val="0"/>
              <w:widowControl w:val="0"/>
              <w:numPr>
                <w:ilvl w:val="0"/>
                <w:numId w:val="3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Ekran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 — wspólne wejście do podłączenia ekranów przewodów łączących urządzenia innych firm.</w:t>
            </w:r>
          </w:p>
          <w:p w:rsidR="00000000" w:rsidDel="00000000" w:rsidP="00000000" w:rsidRDefault="00000000" w:rsidRPr="00000000" w14:paraId="0000002F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Typ podłączenia</w:t>
            </w:r>
          </w:p>
          <w:p w:rsidR="00000000" w:rsidDel="00000000" w:rsidP="00000000" w:rsidRDefault="00000000" w:rsidRPr="00000000" w14:paraId="0000003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NO, NC, EOL, 2EOL, 3EOL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2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Rezystancja EOL</w:t>
            </w:r>
          </w:p>
          <w:p w:rsidR="00000000" w:rsidDel="00000000" w:rsidP="00000000" w:rsidRDefault="00000000" w:rsidRPr="00000000" w14:paraId="0000003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Rezystory 0,47 kΩ, 1,2 kΩ, 2,7 kΩ i 6,2 kΩ</w:t>
            </w:r>
          </w:p>
          <w:p w:rsidR="00000000" w:rsidDel="00000000" w:rsidP="00000000" w:rsidRDefault="00000000" w:rsidRPr="00000000" w14:paraId="0000003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Cztery rezystory dla każdego wejścia są dołączone w pełnym zestawie.</w:t>
            </w:r>
          </w:p>
          <w:p w:rsidR="00000000" w:rsidDel="00000000" w:rsidP="00000000" w:rsidRDefault="00000000" w:rsidRPr="00000000" w14:paraId="00000036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8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Długość połączenia przewodowego z urządzeniami innych firm</w:t>
            </w:r>
          </w:p>
          <w:p w:rsidR="00000000" w:rsidDel="00000000" w:rsidP="00000000" w:rsidRDefault="00000000" w:rsidRPr="00000000" w14:paraId="0000003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 100 m </w:t>
            </w:r>
          </w:p>
          <w:p w:rsidR="00000000" w:rsidDel="00000000" w:rsidP="00000000" w:rsidRDefault="00000000" w:rsidRPr="00000000" w14:paraId="0000003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 325 ft</w:t>
            </w:r>
          </w:p>
          <w:p w:rsidR="00000000" w:rsidDel="00000000" w:rsidP="00000000" w:rsidRDefault="00000000" w:rsidRPr="00000000" w14:paraId="0000003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Gdy zastosowany jest przewód ognioodporny 2×1.5 mm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superscript"/>
                <w:rtl w:val="0"/>
              </w:rPr>
              <w:t xml:space="preserve">2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 (16 AWG).</w:t>
            </w:r>
          </w:p>
          <w:p w:rsidR="00000000" w:rsidDel="00000000" w:rsidP="00000000" w:rsidRDefault="00000000" w:rsidRPr="00000000" w14:paraId="0000003D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3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Pole przekroju poprzecznego przewodu</w:t>
            </w:r>
          </w:p>
          <w:p w:rsidR="00000000" w:rsidDel="00000000" w:rsidP="00000000" w:rsidRDefault="00000000" w:rsidRPr="00000000" w14:paraId="0000003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0,4-2,5 mm² (21–13 AWG)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0">
            <w:pPr>
              <w:pStyle w:val="Heading3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</w:rPr>
            </w:pPr>
            <w:bookmarkStart w:colFirst="0" w:colLast="0" w:name="_ifer1d1clj2v" w:id="4"/>
            <w:bookmarkEnd w:id="4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  <w:rtl w:val="0"/>
              </w:rPr>
              <w:t xml:space="preserve">Wyjścia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4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Liczba linii wyjściowych dla urządzeń innych producentów</w:t>
            </w:r>
          </w:p>
          <w:p w:rsidR="00000000" w:rsidDel="00000000" w:rsidP="00000000" w:rsidRDefault="00000000" w:rsidRPr="00000000" w14:paraId="0000004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2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3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Zaciski wyjściowe</w:t>
            </w:r>
          </w:p>
          <w:p w:rsidR="00000000" w:rsidDel="00000000" w:rsidP="00000000" w:rsidRDefault="00000000" w:rsidRPr="00000000" w14:paraId="00000045">
            <w:pPr>
              <w:keepNext w:val="0"/>
              <w:keepLines w:val="0"/>
              <w:pageBreakBefore w:val="0"/>
              <w:widowControl w:val="0"/>
              <w:numPr>
                <w:ilvl w:val="0"/>
                <w:numId w:val="1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Wyjście 1, Wyjście 2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 — wyjścia przekaźnikowe do podłączania urządzeń przewodowych innych firm.</w:t>
            </w:r>
          </w:p>
          <w:p w:rsidR="00000000" w:rsidDel="00000000" w:rsidP="00000000" w:rsidRDefault="00000000" w:rsidRPr="00000000" w14:paraId="00000046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Zakres działania AC</w:t>
            </w:r>
          </w:p>
          <w:p w:rsidR="00000000" w:rsidDel="00000000" w:rsidP="00000000" w:rsidRDefault="00000000" w:rsidRPr="00000000" w14:paraId="0000004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10—250 V~, 5 mA do 10 A (obciążenie rezystancyjne)</w:t>
            </w:r>
          </w:p>
          <w:p w:rsidR="00000000" w:rsidDel="00000000" w:rsidP="00000000" w:rsidRDefault="00000000" w:rsidRPr="00000000" w14:paraId="00000049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Zakres napięcia roboczego DC</w:t>
            </w:r>
          </w:p>
          <w:p w:rsidR="00000000" w:rsidDel="00000000" w:rsidP="00000000" w:rsidRDefault="00000000" w:rsidRPr="00000000" w14:paraId="0000004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10—30 V⎓, 5 mA do 5 A (obciążenie rezystancyjne)</w:t>
            </w:r>
          </w:p>
          <w:p w:rsidR="00000000" w:rsidDel="00000000" w:rsidP="00000000" w:rsidRDefault="00000000" w:rsidRPr="00000000" w14:paraId="0000004C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4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Pole przekroju poprzecznego przewodu</w:t>
            </w:r>
          </w:p>
          <w:p w:rsidR="00000000" w:rsidDel="00000000" w:rsidP="00000000" w:rsidRDefault="00000000" w:rsidRPr="00000000" w14:paraId="0000004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0,4-2,5 mm² (21–13 AWG)</w:t>
            </w:r>
          </w:p>
          <w:p w:rsidR="00000000" w:rsidDel="00000000" w:rsidP="00000000" w:rsidRDefault="00000000" w:rsidRPr="00000000" w14:paraId="0000004F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Tryb pracy</w:t>
            </w:r>
          </w:p>
          <w:p w:rsidR="00000000" w:rsidDel="00000000" w:rsidP="00000000" w:rsidRDefault="00000000" w:rsidRPr="00000000" w14:paraId="00000051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bistabilny</w:t>
            </w:r>
          </w:p>
          <w:p w:rsidR="00000000" w:rsidDel="00000000" w:rsidP="00000000" w:rsidRDefault="00000000" w:rsidRPr="00000000" w14:paraId="00000052">
            <w:pPr>
              <w:keepNext w:val="0"/>
              <w:keepLines w:val="0"/>
              <w:pageBreakBefore w:val="0"/>
              <w:widowControl w:val="0"/>
              <w:numPr>
                <w:ilvl w:val="0"/>
                <w:numId w:val="2"/>
              </w:numPr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720" w:right="0" w:hanging="360"/>
              <w:jc w:val="left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impulsowy</w:t>
            </w:r>
          </w:p>
          <w:p w:rsidR="00000000" w:rsidDel="00000000" w:rsidP="00000000" w:rsidRDefault="00000000" w:rsidRPr="00000000" w14:paraId="00000053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Czas trwania impulsu</w:t>
            </w:r>
          </w:p>
          <w:p w:rsidR="00000000" w:rsidDel="00000000" w:rsidP="00000000" w:rsidRDefault="00000000" w:rsidRPr="00000000" w14:paraId="0000005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od 1 sek do 1,5 godz</w:t>
            </w:r>
          </w:p>
          <w:p w:rsidR="00000000" w:rsidDel="00000000" w:rsidP="00000000" w:rsidRDefault="00000000" w:rsidRPr="00000000" w14:paraId="0000005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Czas impulsu można skonfigurować dla trybu impulsowego w aplikacjach Ajax osobno dla każdego przekaźnika.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7">
            <w:pPr>
              <w:pStyle w:val="Heading3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</w:rPr>
            </w:pPr>
            <w:bookmarkStart w:colFirst="0" w:colLast="0" w:name="_8hpsg62bgl4j" w:id="5"/>
            <w:bookmarkEnd w:id="5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  <w:rtl w:val="0"/>
              </w:rPr>
              <w:t xml:space="preserve">Najważniejsze cechy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5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Rodzaje zdarzeń</w:t>
            </w:r>
          </w:p>
          <w:p w:rsidR="00000000" w:rsidDel="00000000" w:rsidP="00000000" w:rsidRDefault="00000000" w:rsidRPr="00000000" w14:paraId="0000005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highlight w:val="white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Aplikacja Ajax określa rodzaje zdarzeń dla wejść urządzeń przewodowych. Wybrany rodzaj określa tekst powiadomień o alarmach i zdarzeniach podłączonego urządzenia, a także kody zdarzeń przesyłane do CMS. Użytkownik PRO lub admin może skonfigurować rodzaj zdarzenia w aplikacji Ajax.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A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Scenariusze automatyzacji</w:t>
            </w:r>
          </w:p>
          <w:p w:rsidR="00000000" w:rsidDel="00000000" w:rsidP="00000000" w:rsidRDefault="00000000" w:rsidRPr="00000000" w14:paraId="0000005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Scenariusze można skonfigurować w aplikacjach Ajax osobno dla każdego przekaźnika.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D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5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Tryb awaryjny</w:t>
            </w:r>
          </w:p>
          <w:p w:rsidR="00000000" w:rsidDel="00000000" w:rsidP="00000000" w:rsidRDefault="00000000" w:rsidRPr="00000000" w14:paraId="0000005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Jeśli moduł jest offline, rozładowany lub ma problemy sprzętowe, automatycznie aktywuje podłączone urządzenia.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0">
            <w:pPr>
              <w:pStyle w:val="Heading3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</w:rPr>
            </w:pPr>
            <w:bookmarkStart w:colFirst="0" w:colLast="0" w:name="_dz7e6go7ncly" w:id="6"/>
            <w:bookmarkEnd w:id="6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  <w:rtl w:val="0"/>
              </w:rPr>
              <w:t xml:space="preserve">Zalecenia dotyczące instalacji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Urządzenie jest przeznaczone wyłącznie do użytku wewnątrz pomieszczeń.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2">
            <w:pPr>
              <w:pStyle w:val="Heading3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</w:rPr>
            </w:pPr>
            <w:bookmarkStart w:colFirst="0" w:colLast="0" w:name="_lxofvg8uuuqw" w:id="7"/>
            <w:bookmarkEnd w:id="7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  <w:rtl w:val="0"/>
              </w:rPr>
              <w:t xml:space="preserve">Ochrona przed sabotażem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6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Alarm sabotażowy</w:t>
            </w:r>
          </w:p>
          <w:p w:rsidR="00000000" w:rsidDel="00000000" w:rsidP="00000000" w:rsidRDefault="00000000" w:rsidRPr="00000000" w14:paraId="0000006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highlight w:val="white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Powiadomienia o próbach oderwania modułu od powierzchni lub otwarcia przedniej pokrywy.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5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Ochrona przed spoofingiem</w:t>
            </w:r>
          </w:p>
          <w:p w:rsidR="00000000" w:rsidDel="00000000" w:rsidP="00000000" w:rsidRDefault="00000000" w:rsidRPr="00000000" w14:paraId="0000006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uwierzytelnianie urządzenia</w:t>
            </w:r>
          </w:p>
          <w:p w:rsidR="00000000" w:rsidDel="00000000" w:rsidP="00000000" w:rsidRDefault="00000000" w:rsidRPr="00000000" w14:paraId="00000068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Wykrywanie utraty łączności</w:t>
            </w:r>
          </w:p>
          <w:p w:rsidR="00000000" w:rsidDel="00000000" w:rsidP="00000000" w:rsidRDefault="00000000" w:rsidRPr="00000000" w14:paraId="0000006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po 36 sek</w:t>
            </w:r>
          </w:p>
          <w:p w:rsidR="00000000" w:rsidDel="00000000" w:rsidP="00000000" w:rsidRDefault="00000000" w:rsidRPr="00000000" w14:paraId="0000006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Czas wykrywania zależy od ustawień </w:t>
            </w: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Jeweller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.</w:t>
            </w:r>
          </w:p>
          <w:p w:rsidR="00000000" w:rsidDel="00000000" w:rsidP="00000000" w:rsidRDefault="00000000" w:rsidRPr="00000000" w14:paraId="0000006C">
            <w:pPr>
              <w:widowControl w:val="0"/>
              <w:rPr>
                <w:rFonts w:ascii="Roboto" w:cs="Roboto" w:eastAsia="Roboto" w:hAnsi="Roboto"/>
                <w:color w:val="666666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Monitorowanie wejść</w:t>
            </w:r>
          </w:p>
          <w:p w:rsidR="00000000" w:rsidDel="00000000" w:rsidP="00000000" w:rsidRDefault="00000000" w:rsidRPr="00000000" w14:paraId="0000006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wykrywanie utraty połączenia przewodowego, zwarć i awarii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 </w:t>
            </w: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gdy używane jest połączenie EOL, 2EOL lub 3EOL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6F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Zależnie od rodzaju połączenia.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0">
            <w:pPr>
              <w:pStyle w:val="Heading3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</w:rPr>
            </w:pPr>
            <w:bookmarkStart w:colFirst="0" w:colLast="0" w:name="_pomn9z3nycr8" w:id="8"/>
            <w:bookmarkEnd w:id="8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  <w:rtl w:val="0"/>
              </w:rPr>
              <w:t xml:space="preserve">Zasilanie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Baterie</w:t>
            </w:r>
          </w:p>
          <w:p w:rsidR="00000000" w:rsidDel="00000000" w:rsidP="00000000" w:rsidRDefault="00000000" w:rsidRPr="00000000" w14:paraId="0000007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2 × CR123A</w:t>
            </w:r>
          </w:p>
          <w:p w:rsidR="00000000" w:rsidDel="00000000" w:rsidP="00000000" w:rsidRDefault="00000000" w:rsidRPr="00000000" w14:paraId="0000007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666666"/>
                <w:highlight w:val="white"/>
                <w:u w:val="none"/>
                <w:vertAlign w:val="baseline"/>
                <w:rtl w:val="0"/>
              </w:rPr>
              <w:t xml:space="preserve">Zainstalowana fabrycznie.</w:t>
            </w:r>
          </w:p>
          <w:p w:rsidR="00000000" w:rsidDel="00000000" w:rsidP="00000000" w:rsidRDefault="00000000" w:rsidRPr="00000000" w14:paraId="00000074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Przewidywana żywotność baterii</w:t>
            </w:r>
          </w:p>
          <w:p w:rsidR="00000000" w:rsidDel="00000000" w:rsidP="00000000" w:rsidRDefault="00000000" w:rsidRPr="00000000" w14:paraId="00000076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 5 lat 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7">
            <w:pPr>
              <w:pStyle w:val="Heading3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</w:rPr>
            </w:pPr>
            <w:bookmarkStart w:colFirst="0" w:colLast="0" w:name="_6vwc0tw216bn" w:id="9"/>
            <w:bookmarkEnd w:id="9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  <w:rtl w:val="0"/>
              </w:rPr>
              <w:t xml:space="preserve">Obudowa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7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Wymiary</w:t>
            </w:r>
          </w:p>
          <w:p w:rsidR="00000000" w:rsidDel="00000000" w:rsidP="00000000" w:rsidRDefault="00000000" w:rsidRPr="00000000" w14:paraId="00000079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116 × 180 × 62 mm</w:t>
            </w:r>
          </w:p>
          <w:p w:rsidR="00000000" w:rsidDel="00000000" w:rsidP="00000000" w:rsidRDefault="00000000" w:rsidRPr="00000000" w14:paraId="0000007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4,57″ × 7,09″ × 2,44"</w:t>
            </w:r>
          </w:p>
          <w:p w:rsidR="00000000" w:rsidDel="00000000" w:rsidP="00000000" w:rsidRDefault="00000000" w:rsidRPr="00000000" w14:paraId="0000007B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C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Waga</w:t>
            </w:r>
          </w:p>
          <w:p w:rsidR="00000000" w:rsidDel="00000000" w:rsidP="00000000" w:rsidRDefault="00000000" w:rsidRPr="00000000" w14:paraId="0000007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547 g</w:t>
            </w:r>
          </w:p>
          <w:p w:rsidR="00000000" w:rsidDel="00000000" w:rsidP="00000000" w:rsidRDefault="00000000" w:rsidRPr="00000000" w14:paraId="0000007E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19,3 oz</w:t>
            </w: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7F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Dopuszczalna temperatura pracy</w:t>
            </w:r>
          </w:p>
          <w:p w:rsidR="00000000" w:rsidDel="00000000" w:rsidP="00000000" w:rsidRDefault="00000000" w:rsidRPr="00000000" w14:paraId="0000008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od 0 °С do +50 °С</w:t>
            </w:r>
          </w:p>
          <w:p w:rsidR="00000000" w:rsidDel="00000000" w:rsidP="00000000" w:rsidRDefault="00000000" w:rsidRPr="00000000" w14:paraId="0000008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od 32°F do 122°F</w:t>
            </w:r>
          </w:p>
          <w:p w:rsidR="00000000" w:rsidDel="00000000" w:rsidP="00000000" w:rsidRDefault="00000000" w:rsidRPr="00000000" w14:paraId="00000083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Dopuszczalna wilgotność</w:t>
            </w:r>
          </w:p>
          <w:p w:rsidR="00000000" w:rsidDel="00000000" w:rsidP="00000000" w:rsidRDefault="00000000" w:rsidRPr="00000000" w14:paraId="00000085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do 80%</w:t>
            </w:r>
          </w:p>
          <w:p w:rsidR="00000000" w:rsidDel="00000000" w:rsidP="00000000" w:rsidRDefault="00000000" w:rsidRPr="00000000" w14:paraId="00000086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7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Klasa ochrony</w:t>
            </w:r>
          </w:p>
          <w:p w:rsidR="00000000" w:rsidDel="00000000" w:rsidP="00000000" w:rsidRDefault="00000000" w:rsidRPr="00000000" w14:paraId="00000088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IP21C</w:t>
            </w:r>
          </w:p>
          <w:p w:rsidR="00000000" w:rsidDel="00000000" w:rsidP="00000000" w:rsidRDefault="00000000" w:rsidRPr="00000000" w14:paraId="00000089">
            <w:pPr>
              <w:widowControl w:val="0"/>
              <w:rPr>
                <w:rFonts w:ascii="Roboto" w:cs="Roboto" w:eastAsia="Roboto" w:hAnsi="Roboto"/>
                <w:highlight w:val="white"/>
              </w:rPr>
            </w:pPr>
            <w:r w:rsidDel="00000000" w:rsidR="00000000" w:rsidRPr="00000000">
              <w:rPr>
                <w:rtl w:val="0"/>
              </w:rPr>
            </w:r>
          </w:p>
          <w:p w:rsidR="00000000" w:rsidDel="00000000" w:rsidP="00000000" w:rsidRDefault="00000000" w:rsidRPr="00000000" w14:paraId="0000008A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Klasa palności</w:t>
            </w:r>
          </w:p>
          <w:p w:rsidR="00000000" w:rsidDel="00000000" w:rsidP="00000000" w:rsidRDefault="00000000" w:rsidRPr="00000000" w14:paraId="0000008B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UL 94 V-0</w:t>
            </w:r>
          </w:p>
        </w:tc>
      </w:tr>
      <w:tr>
        <w:trPr>
          <w:cantSplit w:val="0"/>
          <w:trHeight w:val="48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C">
            <w:pPr>
              <w:pStyle w:val="Heading3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</w:rPr>
            </w:pPr>
            <w:bookmarkStart w:colFirst="0" w:colLast="0" w:name="_j3ledsawcsz2" w:id="10"/>
            <w:bookmarkEnd w:id="10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  <w:rtl w:val="0"/>
              </w:rPr>
              <w:t xml:space="preserve">Kolor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D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Czarny</w:t>
            </w:r>
          </w:p>
          <w:p w:rsidR="00000000" w:rsidDel="00000000" w:rsidP="00000000" w:rsidRDefault="00000000" w:rsidRPr="00000000" w14:paraId="0000008E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Biały</w:t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8F">
            <w:pPr>
              <w:pStyle w:val="Heading3"/>
              <w:widowControl w:val="0"/>
              <w:spacing w:after="80" w:before="320" w:lineRule="auto"/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</w:rPr>
            </w:pPr>
            <w:bookmarkStart w:colFirst="0" w:colLast="0" w:name="_7i0mnyd9ft7v" w:id="11"/>
            <w:bookmarkEnd w:id="11"/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sz w:val="22"/>
                <w:szCs w:val="22"/>
                <w:highlight w:val="white"/>
                <w:vertAlign w:val="baseline"/>
                <w:rtl w:val="0"/>
              </w:rPr>
              <w:t xml:space="preserve">Pełny zestaw</w:t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0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EN54 I/O Module (2X2) Jeweller</w:t>
            </w:r>
          </w:p>
          <w:p w:rsidR="00000000" w:rsidDel="00000000" w:rsidP="00000000" w:rsidRDefault="00000000" w:rsidRPr="00000000" w14:paraId="00000091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2 × bateria CR123A (zainstalowane fabrycznie)</w:t>
            </w:r>
          </w:p>
          <w:p w:rsidR="00000000" w:rsidDel="00000000" w:rsidP="00000000" w:rsidRDefault="00000000" w:rsidRPr="00000000" w14:paraId="00000092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Zestaw instalacyjny</w:t>
            </w:r>
          </w:p>
          <w:p w:rsidR="00000000" w:rsidDel="00000000" w:rsidP="00000000" w:rsidRDefault="00000000" w:rsidRPr="00000000" w14:paraId="00000093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2 × zestaw 4 rezystorów EOL</w:t>
            </w:r>
          </w:p>
          <w:p w:rsidR="00000000" w:rsidDel="00000000" w:rsidP="00000000" w:rsidRDefault="00000000" w:rsidRPr="00000000" w14:paraId="00000094">
            <w:pPr>
              <w:keepNext w:val="0"/>
              <w:keepLines w:val="0"/>
              <w:pageBreakBefore w:val="0"/>
              <w:widowControl w:val="0"/>
              <w:pBdr>
                <w:top w:space="0" w:sz="0" w:val="nil"/>
                <w:left w:space="0" w:sz="0" w:val="nil"/>
                <w:bottom w:space="0" w:sz="0" w:val="nil"/>
                <w:right w:space="0" w:sz="0" w:val="nil"/>
                <w:between w:space="0" w:sz="0" w:val="nil"/>
              </w:pBdr>
              <w:shd w:fill="auto" w:val="clear"/>
              <w:spacing w:after="0" w:before="0" w:line="276" w:lineRule="auto"/>
              <w:ind w:left="0" w:right="0" w:firstLine="0"/>
              <w:jc w:val="left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i w:val="0"/>
                <w:iCs w:val="0"/>
                <w:smallCaps w:val="0"/>
                <w:strike w:val="0"/>
                <w:color w:val="000000"/>
                <w:highlight w:val="white"/>
                <w:u w:val="none"/>
                <w:vertAlign w:val="baseline"/>
                <w:rtl w:val="0"/>
              </w:rPr>
              <w:t xml:space="preserve">Krótka instrukcja</w:t>
            </w:r>
            <w:r w:rsidDel="00000000" w:rsidR="00000000" w:rsidRPr="00000000">
              <w:rPr>
                <w:rtl w:val="0"/>
              </w:rPr>
            </w:r>
          </w:p>
        </w:tc>
      </w:tr>
      <w:tr>
        <w:trPr>
          <w:cantSplit w:val="0"/>
          <w:trHeight w:val="420" w:hRule="atLeast"/>
          <w:tblHeader w:val="0"/>
        </w:trPr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5">
            <w:pPr>
              <w:widowControl w:val="0"/>
              <w:rPr>
                <w:rFonts w:ascii="Roboto" w:cs="Roboto" w:eastAsia="Roboto" w:hAnsi="Roboto"/>
                <w:b w:val="1"/>
                <w:bCs w:val="1"/>
                <w:highlight w:val="whit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b w:val="1"/>
                <w:bCs w:val="1"/>
                <w:highlight w:val="white"/>
                <w:rtl w:val="0"/>
              </w:rPr>
              <w:t xml:space="preserve">Gwarancja</w:t>
            </w:r>
            <w:r w:rsidDel="00000000" w:rsidR="00000000" w:rsidRPr="00000000">
              <w:rPr>
                <w:rtl w:val="0"/>
              </w:rPr>
            </w:r>
          </w:p>
        </w:tc>
        <w:tc>
          <w:tcPr>
            <w:shd w:fill="ffffff" w:val="clear"/>
            <w:tcMar>
              <w:top w:w="100.0" w:type="dxa"/>
              <w:left w:w="100.0" w:type="dxa"/>
              <w:bottom w:w="100.0" w:type="dxa"/>
              <w:right w:w="100.0" w:type="dxa"/>
            </w:tcMar>
          </w:tcPr>
          <w:p w:rsidR="00000000" w:rsidDel="00000000" w:rsidP="00000000" w:rsidRDefault="00000000" w:rsidRPr="00000000" w14:paraId="00000096">
            <w:pPr>
              <w:widowControl w:val="0"/>
              <w:rPr>
                <w:rFonts w:ascii="Roboto" w:cs="Roboto" w:eastAsia="Roboto" w:hAnsi="Roboto"/>
                <w:b w:val="1"/>
                <w:bCs w:val="1"/>
                <w:i w:val="0"/>
                <w:iCs w:val="0"/>
                <w:smallCaps w:val="0"/>
                <w:strike w:val="0"/>
                <w:color w:val="1155cc"/>
                <w:highlight w:val="white"/>
                <w:u w:val="single"/>
                <w:vertAlign w:val="baseline"/>
              </w:rPr>
            </w:pPr>
            <w:r w:rsidDel="00000000" w:rsidR="00000000" w:rsidRPr="00000000">
              <w:rPr>
                <w:rFonts w:ascii="Roboto" w:cs="Roboto" w:eastAsia="Roboto" w:hAnsi="Roboto"/>
                <w:highlight w:val="white"/>
                <w:rtl w:val="0"/>
              </w:rPr>
              <w:t xml:space="preserve">24 miesiące</w:t>
            </w:r>
            <w:r w:rsidDel="00000000" w:rsidR="00000000" w:rsidRPr="00000000">
              <w:rPr>
                <w:rtl w:val="0"/>
              </w:rPr>
            </w:r>
          </w:p>
        </w:tc>
      </w:tr>
    </w:tbl>
    <w:p w:rsidR="00000000" w:rsidDel="00000000" w:rsidP="00000000" w:rsidRDefault="00000000" w:rsidRPr="00000000" w14:paraId="00000097">
      <w:pPr>
        <w:jc w:val="right"/>
        <w:rPr>
          <w:rFonts w:ascii="Roboto" w:cs="Roboto" w:eastAsia="Roboto" w:hAnsi="Roboto"/>
        </w:rPr>
      </w:pPr>
      <w:r w:rsidDel="00000000" w:rsidR="00000000" w:rsidRPr="00000000">
        <w:rPr>
          <w:rtl w:val="0"/>
        </w:rPr>
      </w:r>
    </w:p>
    <w:sectPr>
      <w:headerReference r:id="rId6" w:type="default"/>
      <w:headerReference r:id="rId7" w:type="first"/>
      <w:headerReference r:id="rId8" w:type="even"/>
      <w:footerReference r:id="rId9" w:type="default"/>
      <w:footerReference r:id="rId10" w:type="first"/>
      <w:footerReference r:id="rId11" w:type="even"/>
      <w:pgSz w:h="16838" w:w="11906" w:orient="portrait"/>
      <w:pgMar w:bottom="576" w:top="576" w:left="576" w:right="576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Roboto">
    <w:embedRegular w:fontKey="{00000000-0000-0000-0000-000000000000}" r:id="rId1" w:subsetted="0"/>
    <w:embedBold w:fontKey="{00000000-0000-0000-0000-000000000000}" r:id="rId2" w:subsetted="0"/>
    <w:embedItalic w:fontKey="{00000000-0000-0000-0000-000000000000}" r:id="rId3" w:subsetted="0"/>
    <w:embedBoldItalic w:fontKey="{00000000-0000-0000-0000-000000000000}" r:id="rId4" w:subsetted="0"/>
  </w:font>
  <w:font w:name="Nova Mono">
    <w:embedRegular w:fontKey="{00000000-0000-0000-0000-000000000000}" r:id="rId5" w:subsetted="0"/>
  </w:font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B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footer3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ftr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8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9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header3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9A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680"/>
        <w:tab w:val="right" w:leader="none" w:pos="9360"/>
      </w:tabs>
      <w:spacing w:after="0" w:before="0" w:line="240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abstractNum w:abstractNumId="1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2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3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abstractNum w:abstractNumId="4">
    <w:lvl w:ilvl="0">
      <w:start w:val="1"/>
      <w:numFmt w:val="bullet"/>
      <w:lvlText w:val="●"/>
      <w:lvlJc w:val="left"/>
      <w:pPr>
        <w:ind w:left="720" w:hanging="360"/>
      </w:pPr>
      <w:rPr>
        <w:u w:val="none"/>
      </w:rPr>
    </w:lvl>
    <w:lvl w:ilvl="1">
      <w:start w:val="1"/>
      <w:numFmt w:val="bullet"/>
      <w:lvlText w:val="○"/>
      <w:lvlJc w:val="left"/>
      <w:pPr>
        <w:ind w:left="1440" w:hanging="360"/>
      </w:pPr>
      <w:rPr>
        <w:u w:val="none"/>
      </w:rPr>
    </w:lvl>
    <w:lvl w:ilvl="2">
      <w:start w:val="1"/>
      <w:numFmt w:val="bullet"/>
      <w:lvlText w:val="■"/>
      <w:lvlJc w:val="left"/>
      <w:pPr>
        <w:ind w:left="2160" w:hanging="360"/>
      </w:pPr>
      <w:rPr>
        <w:u w:val="none"/>
      </w:rPr>
    </w:lvl>
    <w:lvl w:ilvl="3">
      <w:start w:val="1"/>
      <w:numFmt w:val="bullet"/>
      <w:lvlText w:val="●"/>
      <w:lvlJc w:val="left"/>
      <w:pPr>
        <w:ind w:left="2880" w:hanging="360"/>
      </w:pPr>
      <w:rPr>
        <w:u w:val="none"/>
      </w:rPr>
    </w:lvl>
    <w:lvl w:ilvl="4">
      <w:start w:val="1"/>
      <w:numFmt w:val="bullet"/>
      <w:lvlText w:val="○"/>
      <w:lvlJc w:val="left"/>
      <w:pPr>
        <w:ind w:left="3600" w:hanging="360"/>
      </w:pPr>
      <w:rPr>
        <w:u w:val="none"/>
      </w:rPr>
    </w:lvl>
    <w:lvl w:ilvl="5">
      <w:start w:val="1"/>
      <w:numFmt w:val="bullet"/>
      <w:lvlText w:val="■"/>
      <w:lvlJc w:val="left"/>
      <w:pPr>
        <w:ind w:left="4320" w:hanging="360"/>
      </w:pPr>
      <w:rPr>
        <w:u w:val="none"/>
      </w:rPr>
    </w:lvl>
    <w:lvl w:ilvl="6">
      <w:start w:val="1"/>
      <w:numFmt w:val="bullet"/>
      <w:lvlText w:val="●"/>
      <w:lvlJc w:val="left"/>
      <w:pPr>
        <w:ind w:left="5040" w:hanging="360"/>
      </w:pPr>
      <w:rPr>
        <w:u w:val="none"/>
      </w:rPr>
    </w:lvl>
    <w:lvl w:ilvl="7">
      <w:start w:val="1"/>
      <w:numFmt w:val="bullet"/>
      <w:lvlText w:val="○"/>
      <w:lvlJc w:val="left"/>
      <w:pPr>
        <w:ind w:left="5760" w:hanging="360"/>
      </w:pPr>
      <w:rPr>
        <w:u w:val="none"/>
      </w:rPr>
    </w:lvl>
    <w:lvl w:ilvl="8">
      <w:start w:val="1"/>
      <w:numFmt w:val="bullet"/>
      <w:lvlText w:val="■"/>
      <w:lvlJc w:val="left"/>
      <w:pPr>
        <w:ind w:left="6480" w:hanging="360"/>
      </w:pPr>
      <w:rPr>
        <w:u w:val="none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isplayBackgroundShape w:val="1"/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  <w:sz w:val="22"/>
        <w:szCs w:val="22"/>
        <w:lang w:val="en-UA"/>
      </w:rPr>
    </w:rPrDefault>
    <w:pPrDefault>
      <w:pPr>
        <w:spacing w:line="276" w:lineRule="auto"/>
      </w:pPr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spacing w:after="120" w:before="400" w:lineRule="auto"/>
    </w:pPr>
    <w:rPr>
      <w:sz w:val="40"/>
      <w:szCs w:val="40"/>
    </w:rPr>
  </w:style>
  <w:style w:type="paragraph" w:styleId="Heading2">
    <w:name w:val="heading 2"/>
    <w:basedOn w:val="Normal"/>
    <w:next w:val="Normal"/>
    <w:pPr>
      <w:keepNext w:val="1"/>
      <w:keepLines w:val="1"/>
      <w:spacing w:after="120" w:before="360" w:lineRule="auto"/>
    </w:pPr>
    <w:rPr>
      <w:sz w:val="32"/>
      <w:szCs w:val="32"/>
    </w:rPr>
  </w:style>
  <w:style w:type="paragraph" w:styleId="Heading3">
    <w:name w:val="heading 3"/>
    <w:basedOn w:val="Normal"/>
    <w:next w:val="Normal"/>
    <w:pPr>
      <w:keepNext w:val="1"/>
      <w:keepLines w:val="1"/>
      <w:spacing w:after="80" w:before="320" w:lineRule="auto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spacing w:after="80" w:before="280" w:lineRule="auto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spacing w:after="80" w:before="240" w:lineRule="auto"/>
    </w:pPr>
    <w:rPr>
      <w:color w:val="666666"/>
    </w:rPr>
  </w:style>
  <w:style w:type="paragraph" w:styleId="Heading6">
    <w:name w:val="heading 6"/>
    <w:basedOn w:val="Normal"/>
    <w:next w:val="Normal"/>
    <w:pPr>
      <w:keepNext w:val="1"/>
      <w:keepLines w:val="1"/>
      <w:spacing w:after="80" w:before="240" w:lineRule="auto"/>
    </w:pPr>
    <w:rPr>
      <w:i w:val="1"/>
      <w:iCs w:val="1"/>
      <w:color w:val="666666"/>
    </w:rPr>
  </w:style>
  <w:style w:type="paragraph" w:styleId="Title">
    <w:name w:val="Title"/>
    <w:basedOn w:val="Normal"/>
    <w:next w:val="Normal"/>
    <w:pPr>
      <w:keepNext w:val="1"/>
      <w:keepLines w:val="1"/>
      <w:spacing w:after="60" w:lineRule="auto"/>
    </w:pPr>
    <w:rPr>
      <w:sz w:val="52"/>
      <w:szCs w:val="52"/>
    </w:rPr>
  </w:style>
  <w:style w:type="paragraph" w:styleId="Subtitle">
    <w:name w:val="Subtitle"/>
    <w:basedOn w:val="Normal"/>
    <w:next w:val="Normal"/>
    <w:pPr>
      <w:keepNext w:val="1"/>
      <w:keepLines w:val="1"/>
      <w:spacing w:after="320" w:lineRule="auto"/>
    </w:pPr>
    <w:rPr>
      <w:color w:val="666666"/>
      <w:sz w:val="30"/>
      <w:szCs w:val="30"/>
    </w:rPr>
  </w:style>
  <w:style w:type="table" w:styleId="Table1">
    <w:basedOn w:val="TableNormal"/>
    <w:tblPr>
      <w:tblStyleRowBandSize w:val="1"/>
      <w:tblStyleColBandSize w:val="1"/>
    </w:tbl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11" Type="http://schemas.openxmlformats.org/officeDocument/2006/relationships/footer" Target="footer1.xml"/><Relationship Id="rId10" Type="http://schemas.openxmlformats.org/officeDocument/2006/relationships/footer" Target="footer3.xml"/><Relationship Id="rId9" Type="http://schemas.openxmlformats.org/officeDocument/2006/relationships/footer" Target="footer2.xml"/><Relationship Id="rId5" Type="http://schemas.openxmlformats.org/officeDocument/2006/relationships/styles" Target="styles.xml"/><Relationship Id="rId6" Type="http://schemas.openxmlformats.org/officeDocument/2006/relationships/header" Target="header2.xml"/><Relationship Id="rId7" Type="http://schemas.openxmlformats.org/officeDocument/2006/relationships/header" Target="header3.xml"/><Relationship Id="rId8" Type="http://schemas.openxmlformats.org/officeDocument/2006/relationships/header" Target="header1.xml"/></Relationships>
</file>

<file path=word/_rels/fontTable.xml.rels><?xml version="1.0" encoding="UTF-8" standalone="yes"?><Relationships xmlns="http://schemas.openxmlformats.org/package/2006/relationships"><Relationship Id="rId1" Type="http://schemas.openxmlformats.org/officeDocument/2006/relationships/font" Target="fonts/Roboto-regular.ttf"/><Relationship Id="rId2" Type="http://schemas.openxmlformats.org/officeDocument/2006/relationships/font" Target="fonts/Roboto-bold.ttf"/><Relationship Id="rId3" Type="http://schemas.openxmlformats.org/officeDocument/2006/relationships/font" Target="fonts/Roboto-italic.ttf"/><Relationship Id="rId4" Type="http://schemas.openxmlformats.org/officeDocument/2006/relationships/font" Target="fonts/Roboto-boldItalic.ttf"/><Relationship Id="rId5" Type="http://schemas.openxmlformats.org/officeDocument/2006/relationships/font" Target="fonts/NovaMono-regular.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