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>
          <w:rFonts w:ascii="Roboto" w:cs="Roboto" w:eastAsia="Roboto" w:hAnsi="Roboto"/>
        </w:rPr>
      </w:pPr>
      <w:bookmarkStart w:colFirst="0" w:colLast="0" w:name="_3hrgyo78fzug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FireProtect (Sounder/VAD)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f15ln0m0vvo4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sygnalizator pożarowy połączony z urządzeniem wizualnego alarmowania (VAD)</w:t>
      </w:r>
    </w:p>
    <w:tbl>
      <w:tblPr>
        <w:tblStyle w:val="Table1"/>
        <w:tblW w:w="14880.0" w:type="dxa"/>
        <w:jc w:val="left"/>
        <w:tblInd w:w="-2325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10"/>
        <w:gridCol w:w="9570"/>
        <w:tblGridChange w:id="0">
          <w:tblGrid>
            <w:gridCol w:w="5310"/>
            <w:gridCol w:w="95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equrbxo176ld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Komunikacja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Zdalne sterowanie i konfiguracja w aplikacjach Ajax.</w:t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Automatyczna kontrola zasilania w celu zmniejszenia zużycia energii i zakłóceń radiowych.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Pomiędzy urządzeniem a sprzętem kontrolnym i wskaźnikowym (CIE) lub podwajaczem zasięgu w otwartej przestrzeni.</w:t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vertAlign w:val="baseline"/>
              </w:rPr>
            </w:pPr>
            <w:bookmarkStart w:colFirst="0" w:colLast="0" w:name="_o7diqllf874m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434343"/>
                <w:rtl w:val="0"/>
              </w:rPr>
              <w:t xml:space="preserve">Sygnalizowanie alarmu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Rodzaj alarmu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akustyczny i świetlny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Głośnik i ramka LED.</w:t>
            </w:r>
          </w:p>
          <w:p w:rsidR="00000000" w:rsidDel="00000000" w:rsidP="00000000" w:rsidRDefault="00000000" w:rsidRPr="00000000" w14:paraId="0000002C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Głośność dźwięku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do 100 dB w odległości 1 m </w:t>
            </w: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3,3 ft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Ustawieniami zarządza PRO lub użytkownik z uprawnieniami administratora w aplikacji Ajax.</w:t>
            </w:r>
          </w:p>
          <w:p w:rsidR="00000000" w:rsidDel="00000000" w:rsidP="00000000" w:rsidRDefault="00000000" w:rsidRPr="00000000" w14:paraId="00000030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Wzorce dźwiękowe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32 tony</w:t>
            </w:r>
          </w:p>
          <w:p w:rsidR="00000000" w:rsidDel="00000000" w:rsidP="00000000" w:rsidRDefault="00000000" w:rsidRPr="00000000" w14:paraId="00000033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Dowiedz się więcej &gt;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Synchronizacja dźwięku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Alarm dźwiękowy jest automatycznie synchronizowany na wszystkich urządzeniach z sygnalizatorem dźwiękowym podłączonym do tego samego CIE.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Częstotliwość błysku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90 ms WŁĄCZONE / 1910 ms WYŁĄCZONE (czas cyklu: 2000 ms; częstotliwość: 0,5 Hz)</w:t>
            </w:r>
          </w:p>
          <w:p w:rsidR="00000000" w:rsidDel="00000000" w:rsidP="00000000" w:rsidRDefault="00000000" w:rsidRPr="00000000" w14:paraId="0000003A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Test sygnalizacji alarmowej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sprawdzić sygnały alarmowe dźwiękowe i wizualne, aby upewnić się, że sygnały alarmowe pożarowe są wyraźnie słyszalne i widoczne w pomieszczeniach.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hknylm51qhak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Zalecenia dotyczące instalacji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Zalecana wysokość montażu urządzenia to maksymalnie 3 m na suficie i maksymalnie 2,4 m na ścianie.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Zalecana wysokość montażu urządzenia to maksymalnie 9,8 ft na suficie i maksymalnie 7,8 ft na ścianie.</w:t>
            </w:r>
          </w:p>
          <w:p w:rsidR="00000000" w:rsidDel="00000000" w:rsidP="00000000" w:rsidRDefault="00000000" w:rsidRPr="00000000" w14:paraId="00000040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Urządzenie jest przeznaczone do użytku na zewnątrz i wewnątrz pomieszczeń.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ogdta3pm86kx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Przycisk styku antysabotażowego</w:t>
            </w:r>
          </w:p>
          <w:p w:rsidR="00000000" w:rsidDel="00000000" w:rsidP="00000000" w:rsidRDefault="00000000" w:rsidRPr="00000000" w14:paraId="0000004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color w:val="666666"/>
                <w:rtl w:val="0"/>
              </w:rPr>
              <w:t xml:space="preserve">Powiadomienie o błędzie podczas próby usunięcia urządzenia z uchwytu montażowego.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Blokada dla uchwytu SmartBracket</w:t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aby zabezpieczyć urządzenie w uchwycie montażowym SmartBracket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Po zablokowaniu zamek zabezpiecza urządzenie i zapobiega jego usunięciu bez użycia specjalnego narzędzia.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Czas wykrywania zależy od ustawień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0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3j2trz1opsk1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Zasilanie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Baterie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 × CR123A</w:t>
            </w:r>
          </w:p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Zainstalowana fabrycznie.</w:t>
            </w:r>
          </w:p>
          <w:p w:rsidR="00000000" w:rsidDel="00000000" w:rsidP="00000000" w:rsidRDefault="00000000" w:rsidRPr="00000000" w14:paraId="00000054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Wymiana baterii bez użycia narzędzi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Aby wymienić baterie, należy przekręcić pokrywę komory baterii w kierunku przeciwnym do ruchu wskazówek zegara.</w:t>
            </w:r>
          </w:p>
          <w:p w:rsidR="00000000" w:rsidDel="00000000" w:rsidP="00000000" w:rsidRDefault="00000000" w:rsidRPr="00000000" w14:paraId="00000057">
            <w:pPr>
              <w:widowControl w:val="0"/>
              <w:rPr>
                <w:rFonts w:ascii="Roboto" w:cs="Roboto" w:eastAsia="Roboto" w:hAnsi="Roboto"/>
                <w:color w:val="666666"/>
                <w:u w:val="singl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color w:val="666666"/>
                <w:u w:val="single"/>
                <w:rtl w:val="0"/>
              </w:rPr>
              <w:t xml:space="preserve">Dowiedz się więcej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widowControl w:val="0"/>
              <w:rPr>
                <w:rFonts w:ascii="Roboto" w:cs="Roboto" w:eastAsia="Roboto" w:hAnsi="Roboto"/>
                <w:color w:val="666666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Ochrona przed odwrotną polaryzacją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u w:val="none"/>
                <w:vertAlign w:val="baseline"/>
                <w:rtl w:val="0"/>
              </w:rPr>
              <w:t xml:space="preserve">Chroni urządzenie przed uszkodzeniem, jeśli baterie są włożone niepoprawnie.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Zalecany typ baterii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Andika" w:cs="Andika" w:eastAsia="Andika" w:hAnsi="Andika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Huiderui CR123A; 3 V; 1600 mAh, LiMnO₂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5 lat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zf5x38ef3h0q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Obudowa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145 × 145 × 51 mm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5,71" × 5,71" × 2,00"</w:t>
            </w:r>
          </w:p>
          <w:p w:rsidR="00000000" w:rsidDel="00000000" w:rsidP="00000000" w:rsidRDefault="00000000" w:rsidRPr="00000000" w14:paraId="00000066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561 g</w:t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1,237 lb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–10 °C do +50 °C</w:t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od 14 °F do 122 °F</w:t>
            </w:r>
          </w:p>
          <w:p w:rsidR="00000000" w:rsidDel="00000000" w:rsidP="00000000" w:rsidRDefault="00000000" w:rsidRPr="00000000" w14:paraId="0000006E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71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IP54</w:t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76">
            <w:pPr>
              <w:widowControl w:val="0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6uea2v5zqsci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Kolor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79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Biały</w:t>
            </w:r>
          </w:p>
          <w:p w:rsidR="00000000" w:rsidDel="00000000" w:rsidP="00000000" w:rsidRDefault="00000000" w:rsidRPr="00000000" w14:paraId="0000007A">
            <w:pPr>
              <w:widowControl w:val="0"/>
              <w:jc w:val="center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rtl w:val="0"/>
              </w:rPr>
              <w:t xml:space="preserve">Czerwony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C">
            <w:pPr>
              <w:pStyle w:val="Heading3"/>
              <w:keepNext w:val="1"/>
              <w:keepLines w:val="1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</w:rPr>
            </w:pPr>
            <w:bookmarkStart w:colFirst="0" w:colLast="0" w:name="_tlfldibja3b" w:id="9"/>
            <w:bookmarkEnd w:id="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vertAlign w:val="baseline"/>
                <w:rtl w:val="0"/>
              </w:rPr>
              <w:t xml:space="preserve">Pełny zestaw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EN54 FireProtect (Sounder/VAD) Jeweller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4 x baterie CR123A (zainstalowane fabrycznie)</w:t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rtl w:val="0"/>
              </w:rPr>
              <w:t xml:space="preserve">Uchwyt montażowy SmartBracket</w:t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/>
          <w:p w:rsidR="00000000" w:rsidDel="00000000" w:rsidP="00000000" w:rsidRDefault="00000000" w:rsidRPr="00000000" w14:paraId="00000082">
            <w:pPr>
              <w:pStyle w:val="Heading3"/>
              <w:widowControl w:val="0"/>
              <w:rPr>
                <w:rFonts w:ascii="Roboto" w:cs="Roboto" w:eastAsia="Roboto" w:hAnsi="Roboto"/>
                <w:b w:val="1"/>
                <w:bCs w:val="1"/>
                <w:sz w:val="22"/>
                <w:szCs w:val="22"/>
              </w:rPr>
            </w:pPr>
            <w:bookmarkStart w:colFirst="0" w:colLast="0" w:name="_at6q4ty3webn" w:id="10"/>
            <w:bookmarkEnd w:id="1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rtl w:val="0"/>
              </w:rPr>
              <w:t xml:space="preserve">Gwarancja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u w:val="none"/>
                <w:vertAlign w:val="baselin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4">
      <w:pPr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ndika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Robo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  <w:font w:name="Nova Mono">
    <w:embedRegular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ndika-regular.ttf"/><Relationship Id="rId2" Type="http://schemas.openxmlformats.org/officeDocument/2006/relationships/font" Target="fonts/Andika-bold.ttf"/><Relationship Id="rId3" Type="http://schemas.openxmlformats.org/officeDocument/2006/relationships/font" Target="fonts/Andika-italic.ttf"/><Relationship Id="rId4" Type="http://schemas.openxmlformats.org/officeDocument/2006/relationships/font" Target="fonts/Andika-boldItalic.ttf"/><Relationship Id="rId9" Type="http://schemas.openxmlformats.org/officeDocument/2006/relationships/font" Target="fonts/NovaMono-regular.ttf"/><Relationship Id="rId5" Type="http://schemas.openxmlformats.org/officeDocument/2006/relationships/font" Target="fonts/Roboto-regular.ttf"/><Relationship Id="rId6" Type="http://schemas.openxmlformats.org/officeDocument/2006/relationships/font" Target="fonts/Roboto-bold.ttf"/><Relationship Id="rId7" Type="http://schemas.openxmlformats.org/officeDocument/2006/relationships/font" Target="fonts/Roboto-italic.ttf"/><Relationship Id="rId8" Type="http://schemas.openxmlformats.org/officeDocument/2006/relationships/font" Target="fonts/Robot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